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C0397" w:rsidRDefault="005D0F4A" w:rsidP="00A553DB">
      <w:pPr>
        <w:jc w:val="right"/>
        <w:rPr>
          <w:bCs/>
        </w:rPr>
      </w:pPr>
      <w:r w:rsidRPr="00AC0397">
        <w:rPr>
          <w:bCs/>
        </w:rPr>
        <w:t>Reg.</w:t>
      </w:r>
      <w:r w:rsidR="00AC0397">
        <w:rPr>
          <w:bCs/>
        </w:rPr>
        <w:t xml:space="preserve"> </w:t>
      </w:r>
      <w:r w:rsidRPr="00AC0397">
        <w:rPr>
          <w:bCs/>
        </w:rPr>
        <w:t>No. ____________</w:t>
      </w:r>
    </w:p>
    <w:p w:rsidR="005D3355" w:rsidRDefault="003D2BF1" w:rsidP="005D3355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28850" cy="66675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160" w:rsidRPr="00E824B7" w:rsidRDefault="00396160" w:rsidP="005D3355">
      <w:pPr>
        <w:jc w:val="center"/>
        <w:rPr>
          <w:rFonts w:ascii="Arial" w:hAnsi="Arial" w:cs="Arial"/>
          <w:bCs/>
        </w:rPr>
      </w:pPr>
    </w:p>
    <w:p w:rsidR="005527A4" w:rsidRDefault="00E01649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D3355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 w:rsidR="00524CFE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/ </w:t>
      </w:r>
      <w:r w:rsidR="00524CFE"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24CFE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56464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56464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564645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56464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56464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64645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564645" w:rsidRDefault="00882FD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15EE2023</w:t>
            </w:r>
          </w:p>
        </w:tc>
        <w:tc>
          <w:tcPr>
            <w:tcW w:w="1800" w:type="dxa"/>
          </w:tcPr>
          <w:p w:rsidR="005527A4" w:rsidRPr="0056464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64645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56464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64645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56464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64645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564645" w:rsidRDefault="00882FDC" w:rsidP="00900A75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SU</w:t>
            </w:r>
            <w:r w:rsidR="00900A75">
              <w:rPr>
                <w:b/>
                <w:lang w:val="en-US" w:eastAsia="en-US"/>
              </w:rPr>
              <w:t>B</w:t>
            </w:r>
            <w:r>
              <w:rPr>
                <w:b/>
                <w:lang w:val="en-US" w:eastAsia="en-US"/>
              </w:rPr>
              <w:t>STATION DESIGN</w:t>
            </w:r>
          </w:p>
        </w:tc>
        <w:tc>
          <w:tcPr>
            <w:tcW w:w="1800" w:type="dxa"/>
          </w:tcPr>
          <w:p w:rsidR="005527A4" w:rsidRPr="00564645" w:rsidRDefault="005527A4" w:rsidP="00524CFE">
            <w:pPr>
              <w:pStyle w:val="Title"/>
              <w:jc w:val="left"/>
              <w:rPr>
                <w:b/>
                <w:lang w:val="en-US" w:eastAsia="en-US"/>
              </w:rPr>
            </w:pPr>
            <w:r w:rsidRPr="00564645">
              <w:rPr>
                <w:b/>
                <w:lang w:val="en-US" w:eastAsia="en-US"/>
              </w:rPr>
              <w:t xml:space="preserve">Max. </w:t>
            </w:r>
            <w:r w:rsidR="00524CFE">
              <w:rPr>
                <w:b/>
                <w:lang w:val="en-US" w:eastAsia="en-US"/>
              </w:rPr>
              <w:t>M</w:t>
            </w:r>
            <w:r w:rsidRPr="00564645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564645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564645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E845D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450"/>
        <w:gridCol w:w="7020"/>
        <w:gridCol w:w="1170"/>
        <w:gridCol w:w="950"/>
      </w:tblGrid>
      <w:tr w:rsidR="008C7BA2" w:rsidRPr="00E845D2" w:rsidTr="00F070C6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E845D2" w:rsidRDefault="008C7BA2" w:rsidP="008C7BA2">
            <w:pPr>
              <w:jc w:val="center"/>
              <w:rPr>
                <w:b/>
              </w:rPr>
            </w:pPr>
            <w:r w:rsidRPr="00E845D2">
              <w:rPr>
                <w:b/>
              </w:rPr>
              <w:t>Q. No.</w:t>
            </w:r>
          </w:p>
        </w:tc>
        <w:tc>
          <w:tcPr>
            <w:tcW w:w="450" w:type="dxa"/>
            <w:shd w:val="clear" w:color="auto" w:fill="auto"/>
          </w:tcPr>
          <w:p w:rsidR="008C7BA2" w:rsidRPr="00E845D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8C7BA2" w:rsidRPr="00E845D2" w:rsidRDefault="008C7BA2" w:rsidP="00882FDC">
            <w:pPr>
              <w:jc w:val="both"/>
              <w:rPr>
                <w:b/>
              </w:rPr>
            </w:pPr>
            <w:r w:rsidRPr="00E845D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845D2" w:rsidRDefault="008C7BA2" w:rsidP="00D23461">
            <w:pPr>
              <w:rPr>
                <w:b/>
              </w:rPr>
            </w:pPr>
            <w:r w:rsidRPr="00E845D2">
              <w:rPr>
                <w:b/>
              </w:rPr>
              <w:t xml:space="preserve">Course </w:t>
            </w:r>
          </w:p>
          <w:p w:rsidR="008C7BA2" w:rsidRPr="00E845D2" w:rsidRDefault="008C7BA2" w:rsidP="00D23461">
            <w:pPr>
              <w:rPr>
                <w:b/>
              </w:rPr>
            </w:pPr>
            <w:r w:rsidRPr="00E845D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845D2" w:rsidRDefault="008C7BA2" w:rsidP="00D23461">
            <w:pPr>
              <w:rPr>
                <w:b/>
              </w:rPr>
            </w:pPr>
            <w:r w:rsidRPr="00E845D2">
              <w:rPr>
                <w:b/>
              </w:rPr>
              <w:t>Marks</w:t>
            </w:r>
          </w:p>
        </w:tc>
      </w:tr>
      <w:tr w:rsidR="002733C9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2733C9" w:rsidRPr="00E845D2" w:rsidRDefault="002733C9" w:rsidP="008C7BA2">
            <w:pPr>
              <w:jc w:val="center"/>
            </w:pPr>
            <w:r w:rsidRPr="00E845D2">
              <w:t>1.</w:t>
            </w:r>
          </w:p>
        </w:tc>
        <w:tc>
          <w:tcPr>
            <w:tcW w:w="450" w:type="dxa"/>
            <w:shd w:val="clear" w:color="auto" w:fill="auto"/>
          </w:tcPr>
          <w:p w:rsidR="002733C9" w:rsidRPr="00E845D2" w:rsidRDefault="002733C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2733C9" w:rsidRPr="00E845D2" w:rsidRDefault="002733C9" w:rsidP="00396160">
            <w:pPr>
              <w:autoSpaceDE w:val="0"/>
              <w:autoSpaceDN w:val="0"/>
              <w:adjustRightInd w:val="0"/>
              <w:jc w:val="both"/>
              <w:rPr>
                <w:lang w:bidi="en-US"/>
              </w:rPr>
            </w:pPr>
            <w:r w:rsidRPr="00E845D2">
              <w:rPr>
                <w:rFonts w:eastAsia="Calibri"/>
              </w:rPr>
              <w:t xml:space="preserve">Various factors affect the reliability of an electrical substation or switchyard facility, one of which is the arrangement of switching devices and buses. Classify and </w:t>
            </w:r>
            <w:r w:rsidR="00396160">
              <w:rPr>
                <w:rFonts w:eastAsia="Calibri"/>
              </w:rPr>
              <w:t>d</w:t>
            </w:r>
            <w:r w:rsidRPr="00E845D2">
              <w:rPr>
                <w:rFonts w:eastAsia="Calibri"/>
              </w:rPr>
              <w:t>iscuss the six types of arrangements commonly used in practice.</w:t>
            </w:r>
          </w:p>
        </w:tc>
        <w:tc>
          <w:tcPr>
            <w:tcW w:w="1170" w:type="dxa"/>
            <w:shd w:val="clear" w:color="auto" w:fill="auto"/>
          </w:tcPr>
          <w:p w:rsidR="007330C8" w:rsidRPr="00E845D2" w:rsidRDefault="007330C8" w:rsidP="00D23461">
            <w:pPr>
              <w:jc w:val="center"/>
            </w:pPr>
          </w:p>
          <w:p w:rsidR="002733C9" w:rsidRPr="00E845D2" w:rsidRDefault="002733C9" w:rsidP="001A1871">
            <w:pPr>
              <w:jc w:val="center"/>
            </w:pPr>
            <w:r w:rsidRPr="00E845D2">
              <w:t>CO1</w:t>
            </w:r>
          </w:p>
        </w:tc>
        <w:tc>
          <w:tcPr>
            <w:tcW w:w="950" w:type="dxa"/>
            <w:shd w:val="clear" w:color="auto" w:fill="auto"/>
          </w:tcPr>
          <w:p w:rsidR="007330C8" w:rsidRPr="00E845D2" w:rsidRDefault="007330C8" w:rsidP="00D23461">
            <w:pPr>
              <w:jc w:val="center"/>
            </w:pPr>
          </w:p>
          <w:p w:rsidR="002733C9" w:rsidRPr="00E845D2" w:rsidRDefault="002733C9" w:rsidP="00D23461">
            <w:pPr>
              <w:jc w:val="center"/>
            </w:pPr>
            <w:r w:rsidRPr="00E845D2">
              <w:t>20</w:t>
            </w:r>
          </w:p>
        </w:tc>
      </w:tr>
      <w:tr w:rsidR="002733C9" w:rsidRPr="00E845D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33C9" w:rsidRPr="00E845D2" w:rsidRDefault="002733C9" w:rsidP="00882FDC">
            <w:pPr>
              <w:jc w:val="center"/>
              <w:rPr>
                <w:b/>
              </w:rPr>
            </w:pPr>
            <w:r w:rsidRPr="00E845D2">
              <w:rPr>
                <w:b/>
              </w:rPr>
              <w:t>(OR)</w:t>
            </w:r>
          </w:p>
        </w:tc>
      </w:tr>
      <w:tr w:rsidR="007330C8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7330C8" w:rsidRPr="00E845D2" w:rsidRDefault="007330C8" w:rsidP="008C7BA2">
            <w:pPr>
              <w:jc w:val="center"/>
            </w:pPr>
            <w:r w:rsidRPr="00E845D2">
              <w:t>2.</w:t>
            </w:r>
          </w:p>
        </w:tc>
        <w:tc>
          <w:tcPr>
            <w:tcW w:w="450" w:type="dxa"/>
            <w:shd w:val="clear" w:color="auto" w:fill="auto"/>
          </w:tcPr>
          <w:p w:rsidR="007330C8" w:rsidRPr="00E845D2" w:rsidRDefault="007330C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96160" w:rsidRDefault="007330C8" w:rsidP="00396160">
            <w:pPr>
              <w:jc w:val="both"/>
            </w:pPr>
            <w:r w:rsidRPr="00E845D2">
              <w:t>Draw the one line diagram of a substation having the following equipments</w:t>
            </w:r>
            <w:r w:rsidR="00396160">
              <w:t xml:space="preserve">: </w:t>
            </w:r>
          </w:p>
          <w:p w:rsidR="00396160" w:rsidRDefault="00396160" w:rsidP="00396160">
            <w:pPr>
              <w:jc w:val="both"/>
            </w:pPr>
            <w:r>
              <w:t>i)</w:t>
            </w:r>
            <w:r w:rsidR="007330C8" w:rsidRPr="00E845D2">
              <w:t xml:space="preserve"> Incoming lines: Two, 220kV </w:t>
            </w:r>
          </w:p>
          <w:p w:rsidR="00396160" w:rsidRDefault="007330C8" w:rsidP="00396160">
            <w:pPr>
              <w:jc w:val="both"/>
            </w:pPr>
            <w:r w:rsidRPr="00E845D2">
              <w:t xml:space="preserve">ii) Outgoing Lines: Five, 66kV,One 11kV </w:t>
            </w:r>
          </w:p>
          <w:p w:rsidR="00396160" w:rsidRDefault="007330C8" w:rsidP="00396160">
            <w:pPr>
              <w:jc w:val="both"/>
            </w:pPr>
            <w:r w:rsidRPr="00E845D2">
              <w:t xml:space="preserve">iii) Bus-bars: 220 kV-Double bus, 66kV-Double bus, 11kV bus </w:t>
            </w:r>
          </w:p>
          <w:p w:rsidR="00396160" w:rsidRDefault="007330C8" w:rsidP="00396160">
            <w:pPr>
              <w:jc w:val="both"/>
            </w:pPr>
            <w:r w:rsidRPr="00E845D2">
              <w:t>iv) Transformers: (a) Three winding transformers-Two,</w:t>
            </w:r>
            <w:r w:rsidR="00396160">
              <w:t xml:space="preserve"> </w:t>
            </w:r>
            <w:r w:rsidRPr="00E845D2">
              <w:t xml:space="preserve">100MVA, 220/66/11kV, 3F (b) Auxiliary transformer-One, 5MVA,11kV/400V, 3F </w:t>
            </w:r>
          </w:p>
          <w:p w:rsidR="007330C8" w:rsidRPr="00E845D2" w:rsidRDefault="007330C8" w:rsidP="00396160">
            <w:pPr>
              <w:jc w:val="both"/>
            </w:pPr>
            <w:r w:rsidRPr="00E845D2">
              <w:t>v) Wave trap, Coupling condenser and Earth switch at incoming lines</w:t>
            </w:r>
            <w:r w:rsidR="00396160">
              <w:t>.</w:t>
            </w:r>
            <w:r w:rsidRPr="00E845D2">
              <w:t xml:space="preserve"> Show the positions of CTs, PTs, disconnecting switches, lightning arresters, circuit breakers.</w:t>
            </w:r>
          </w:p>
        </w:tc>
        <w:tc>
          <w:tcPr>
            <w:tcW w:w="1170" w:type="dxa"/>
            <w:shd w:val="clear" w:color="auto" w:fill="auto"/>
          </w:tcPr>
          <w:p w:rsidR="007330C8" w:rsidRPr="00E845D2" w:rsidRDefault="007330C8" w:rsidP="009B22C7">
            <w:pPr>
              <w:jc w:val="center"/>
            </w:pPr>
          </w:p>
          <w:p w:rsidR="007330C8" w:rsidRPr="00E845D2" w:rsidRDefault="007330C8" w:rsidP="009B22C7">
            <w:pPr>
              <w:jc w:val="center"/>
            </w:pPr>
          </w:p>
          <w:p w:rsidR="007330C8" w:rsidRPr="00E845D2" w:rsidRDefault="007330C8" w:rsidP="009B22C7">
            <w:pPr>
              <w:jc w:val="center"/>
            </w:pPr>
          </w:p>
          <w:p w:rsidR="007330C8" w:rsidRPr="00E845D2" w:rsidRDefault="007330C8" w:rsidP="001A1871">
            <w:pPr>
              <w:jc w:val="center"/>
            </w:pPr>
            <w:r w:rsidRPr="00E845D2">
              <w:t>CO1</w:t>
            </w:r>
          </w:p>
        </w:tc>
        <w:tc>
          <w:tcPr>
            <w:tcW w:w="950" w:type="dxa"/>
            <w:shd w:val="clear" w:color="auto" w:fill="auto"/>
          </w:tcPr>
          <w:p w:rsidR="007330C8" w:rsidRPr="00E845D2" w:rsidRDefault="007330C8" w:rsidP="009B22C7">
            <w:pPr>
              <w:jc w:val="center"/>
            </w:pPr>
          </w:p>
          <w:p w:rsidR="007330C8" w:rsidRPr="00E845D2" w:rsidRDefault="007330C8" w:rsidP="009B22C7">
            <w:pPr>
              <w:jc w:val="center"/>
            </w:pPr>
          </w:p>
          <w:p w:rsidR="007330C8" w:rsidRPr="00E845D2" w:rsidRDefault="007330C8" w:rsidP="009B22C7">
            <w:pPr>
              <w:jc w:val="center"/>
            </w:pPr>
          </w:p>
          <w:p w:rsidR="007330C8" w:rsidRPr="00E845D2" w:rsidRDefault="007330C8" w:rsidP="009B22C7">
            <w:pPr>
              <w:jc w:val="center"/>
            </w:pPr>
            <w:r w:rsidRPr="00E845D2">
              <w:t>20</w:t>
            </w:r>
          </w:p>
        </w:tc>
      </w:tr>
      <w:tr w:rsidR="002733C9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2733C9" w:rsidRPr="00E845D2" w:rsidRDefault="002733C9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2733C9" w:rsidRPr="00E845D2" w:rsidRDefault="002733C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733C9" w:rsidRPr="00E845D2" w:rsidRDefault="002733C9" w:rsidP="00882F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733C9" w:rsidRPr="00E845D2" w:rsidRDefault="002733C9" w:rsidP="00D234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733C9" w:rsidRPr="00E845D2" w:rsidRDefault="002733C9" w:rsidP="00D23461">
            <w:pPr>
              <w:jc w:val="center"/>
            </w:pPr>
          </w:p>
        </w:tc>
      </w:tr>
      <w:tr w:rsidR="006F72F8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6F72F8" w:rsidRPr="00E845D2" w:rsidRDefault="006F72F8" w:rsidP="008C7BA2">
            <w:pPr>
              <w:jc w:val="center"/>
            </w:pPr>
            <w:r w:rsidRPr="00E845D2">
              <w:t>3.</w:t>
            </w:r>
          </w:p>
        </w:tc>
        <w:tc>
          <w:tcPr>
            <w:tcW w:w="450" w:type="dxa"/>
            <w:shd w:val="clear" w:color="auto" w:fill="auto"/>
          </w:tcPr>
          <w:p w:rsidR="006F72F8" w:rsidRPr="00E845D2" w:rsidRDefault="006F72F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6F72F8" w:rsidRPr="00E845D2" w:rsidRDefault="002B1BD3" w:rsidP="00882FDC">
            <w:pPr>
              <w:autoSpaceDE w:val="0"/>
              <w:autoSpaceDN w:val="0"/>
              <w:adjustRightInd w:val="0"/>
              <w:jc w:val="both"/>
            </w:pPr>
            <w:r w:rsidRPr="00E845D2">
              <w:rPr>
                <w:rFonts w:eastAsia="Calibri"/>
              </w:rPr>
              <w:t>Illustrate the  two conditions that a person within or around the substation can experience that can cause them to become part of the ground circuit.</w:t>
            </w:r>
          </w:p>
        </w:tc>
        <w:tc>
          <w:tcPr>
            <w:tcW w:w="1170" w:type="dxa"/>
            <w:shd w:val="clear" w:color="auto" w:fill="auto"/>
          </w:tcPr>
          <w:p w:rsidR="006F72F8" w:rsidRPr="00E845D2" w:rsidRDefault="005D1417" w:rsidP="001A1871">
            <w:pPr>
              <w:jc w:val="center"/>
            </w:pPr>
            <w:r w:rsidRPr="00E845D2">
              <w:t>CO</w:t>
            </w:r>
            <w:r w:rsidR="00B904AE" w:rsidRPr="00E845D2">
              <w:t>1</w:t>
            </w:r>
          </w:p>
        </w:tc>
        <w:tc>
          <w:tcPr>
            <w:tcW w:w="950" w:type="dxa"/>
            <w:shd w:val="clear" w:color="auto" w:fill="auto"/>
          </w:tcPr>
          <w:p w:rsidR="006F72F8" w:rsidRPr="00E845D2" w:rsidRDefault="005D1417" w:rsidP="00D23461">
            <w:pPr>
              <w:jc w:val="center"/>
            </w:pPr>
            <w:r w:rsidRPr="00E845D2">
              <w:t>20</w:t>
            </w:r>
          </w:p>
        </w:tc>
      </w:tr>
      <w:tr w:rsidR="006F72F8" w:rsidRPr="00E845D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F72F8" w:rsidRPr="00E845D2" w:rsidRDefault="006F72F8" w:rsidP="00882FDC">
            <w:pPr>
              <w:jc w:val="center"/>
              <w:rPr>
                <w:b/>
              </w:rPr>
            </w:pPr>
            <w:r w:rsidRPr="00E845D2">
              <w:rPr>
                <w:b/>
              </w:rPr>
              <w:t>(OR)</w:t>
            </w:r>
          </w:p>
        </w:tc>
      </w:tr>
      <w:tr w:rsidR="00B904AE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  <w:r w:rsidRPr="00E845D2">
              <w:t>4.</w:t>
            </w:r>
          </w:p>
        </w:tc>
        <w:tc>
          <w:tcPr>
            <w:tcW w:w="45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B904AE" w:rsidRPr="00E845D2" w:rsidRDefault="00B904AE" w:rsidP="00396160">
            <w:pPr>
              <w:autoSpaceDE w:val="0"/>
              <w:autoSpaceDN w:val="0"/>
              <w:adjustRightInd w:val="0"/>
              <w:jc w:val="both"/>
            </w:pPr>
            <w:r w:rsidRPr="00E845D2">
              <w:rPr>
                <w:rFonts w:eastAsia="Calibri"/>
              </w:rPr>
              <w:t>Determine the design criteria for a</w:t>
            </w:r>
            <w:r w:rsidR="00396160">
              <w:rPr>
                <w:rFonts w:eastAsia="Calibri"/>
              </w:rPr>
              <w:t xml:space="preserve"> substation grounding system </w:t>
            </w:r>
            <w:r w:rsidRPr="00E845D2">
              <w:rPr>
                <w:rFonts w:eastAsia="Calibri"/>
              </w:rPr>
              <w:t>to limit the actual step and mesh voltages to levels below the tolerable touch and step voltages.</w:t>
            </w:r>
          </w:p>
        </w:tc>
        <w:tc>
          <w:tcPr>
            <w:tcW w:w="1170" w:type="dxa"/>
            <w:shd w:val="clear" w:color="auto" w:fill="auto"/>
          </w:tcPr>
          <w:p w:rsidR="00B904AE" w:rsidRPr="00E845D2" w:rsidRDefault="00B904AE" w:rsidP="001A1871">
            <w:pPr>
              <w:jc w:val="center"/>
            </w:pPr>
            <w:r w:rsidRPr="00E845D2">
              <w:t>CO2</w:t>
            </w:r>
          </w:p>
        </w:tc>
        <w:tc>
          <w:tcPr>
            <w:tcW w:w="950" w:type="dxa"/>
            <w:shd w:val="clear" w:color="auto" w:fill="auto"/>
          </w:tcPr>
          <w:p w:rsidR="00B904AE" w:rsidRPr="00E845D2" w:rsidRDefault="00B904AE" w:rsidP="009B22C7">
            <w:pPr>
              <w:jc w:val="center"/>
            </w:pPr>
            <w:r w:rsidRPr="00E845D2">
              <w:t>20</w:t>
            </w:r>
          </w:p>
        </w:tc>
      </w:tr>
      <w:tr w:rsidR="006F72F8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6F72F8" w:rsidRPr="00E845D2" w:rsidRDefault="006F72F8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6F72F8" w:rsidRPr="00E845D2" w:rsidRDefault="006F72F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F72F8" w:rsidRPr="00E845D2" w:rsidRDefault="006F72F8" w:rsidP="00882F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72F8" w:rsidRPr="00E845D2" w:rsidRDefault="006F72F8" w:rsidP="00D234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F72F8" w:rsidRPr="00E845D2" w:rsidRDefault="006F72F8" w:rsidP="00D23461">
            <w:pPr>
              <w:jc w:val="center"/>
            </w:pPr>
          </w:p>
        </w:tc>
      </w:tr>
      <w:tr w:rsidR="00B904AE" w:rsidRPr="00E845D2" w:rsidTr="00F070C6">
        <w:trPr>
          <w:trHeight w:val="305"/>
        </w:trPr>
        <w:tc>
          <w:tcPr>
            <w:tcW w:w="99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  <w:r w:rsidRPr="00E845D2">
              <w:t>5.</w:t>
            </w:r>
          </w:p>
        </w:tc>
        <w:tc>
          <w:tcPr>
            <w:tcW w:w="45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B904AE" w:rsidRPr="00E845D2" w:rsidRDefault="00B904AE" w:rsidP="00882FDC">
            <w:pPr>
              <w:jc w:val="both"/>
            </w:pPr>
            <w:r w:rsidRPr="00E845D2">
              <w:rPr>
                <w:rFonts w:eastAsia="TrumpMediaevalLTStd-Bold"/>
                <w:bCs/>
              </w:rPr>
              <w:t>Summarize the Five important Lightning Parameters in detail.</w:t>
            </w:r>
          </w:p>
        </w:tc>
        <w:tc>
          <w:tcPr>
            <w:tcW w:w="1170" w:type="dxa"/>
            <w:shd w:val="clear" w:color="auto" w:fill="auto"/>
          </w:tcPr>
          <w:p w:rsidR="00B904AE" w:rsidRPr="00E845D2" w:rsidRDefault="00B904AE" w:rsidP="001A1871">
            <w:pPr>
              <w:jc w:val="center"/>
            </w:pPr>
            <w:r w:rsidRPr="00E845D2">
              <w:t>CO1</w:t>
            </w:r>
          </w:p>
        </w:tc>
        <w:tc>
          <w:tcPr>
            <w:tcW w:w="950" w:type="dxa"/>
            <w:shd w:val="clear" w:color="auto" w:fill="auto"/>
          </w:tcPr>
          <w:p w:rsidR="00B904AE" w:rsidRPr="00E845D2" w:rsidRDefault="00B904AE" w:rsidP="009B22C7">
            <w:pPr>
              <w:jc w:val="center"/>
            </w:pPr>
            <w:r w:rsidRPr="00E845D2">
              <w:t>20</w:t>
            </w:r>
          </w:p>
        </w:tc>
      </w:tr>
      <w:tr w:rsidR="006F72F8" w:rsidRPr="00E845D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F72F8" w:rsidRPr="00E845D2" w:rsidRDefault="006F72F8" w:rsidP="00882FDC">
            <w:pPr>
              <w:jc w:val="center"/>
              <w:rPr>
                <w:b/>
              </w:rPr>
            </w:pPr>
            <w:r w:rsidRPr="00E845D2">
              <w:rPr>
                <w:b/>
              </w:rPr>
              <w:t>(OR)</w:t>
            </w:r>
          </w:p>
        </w:tc>
      </w:tr>
      <w:tr w:rsidR="00B904AE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  <w:r w:rsidRPr="00E845D2">
              <w:t>6.</w:t>
            </w:r>
          </w:p>
        </w:tc>
        <w:tc>
          <w:tcPr>
            <w:tcW w:w="45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B904AE" w:rsidRPr="00E845D2" w:rsidRDefault="00B904AE" w:rsidP="00882FDC">
            <w:pPr>
              <w:jc w:val="both"/>
            </w:pPr>
            <w:r w:rsidRPr="00E845D2">
              <w:rPr>
                <w:spacing w:val="1"/>
                <w:shd w:val="clear" w:color="auto" w:fill="F9F9F9"/>
              </w:rPr>
              <w:t>Design and Develop a Combined station auxiliary and system earthing transformer connected directly to 33 kV</w:t>
            </w:r>
            <w:r w:rsidR="00A617A8" w:rsidRPr="00E845D2">
              <w:rPr>
                <w:spacing w:val="1"/>
                <w:shd w:val="clear" w:color="auto" w:fill="F9F9F9"/>
              </w:rPr>
              <w:t xml:space="preserve">  Substation.</w:t>
            </w:r>
          </w:p>
        </w:tc>
        <w:tc>
          <w:tcPr>
            <w:tcW w:w="1170" w:type="dxa"/>
            <w:shd w:val="clear" w:color="auto" w:fill="auto"/>
          </w:tcPr>
          <w:p w:rsidR="00B904AE" w:rsidRPr="00E845D2" w:rsidRDefault="00B904AE" w:rsidP="001A1871">
            <w:pPr>
              <w:jc w:val="center"/>
            </w:pPr>
            <w:r w:rsidRPr="00E845D2">
              <w:t>CO2</w:t>
            </w:r>
          </w:p>
        </w:tc>
        <w:tc>
          <w:tcPr>
            <w:tcW w:w="950" w:type="dxa"/>
            <w:shd w:val="clear" w:color="auto" w:fill="auto"/>
          </w:tcPr>
          <w:p w:rsidR="00B904AE" w:rsidRPr="00E845D2" w:rsidRDefault="00B904AE" w:rsidP="009B22C7">
            <w:pPr>
              <w:jc w:val="center"/>
            </w:pPr>
            <w:r w:rsidRPr="00E845D2">
              <w:t>20</w:t>
            </w:r>
          </w:p>
        </w:tc>
      </w:tr>
      <w:tr w:rsidR="006F72F8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6F72F8" w:rsidRPr="00E845D2" w:rsidRDefault="006F72F8" w:rsidP="008C7BA2">
            <w:pPr>
              <w:jc w:val="center"/>
            </w:pPr>
          </w:p>
        </w:tc>
        <w:tc>
          <w:tcPr>
            <w:tcW w:w="450" w:type="dxa"/>
            <w:shd w:val="clear" w:color="auto" w:fill="auto"/>
          </w:tcPr>
          <w:p w:rsidR="006F72F8" w:rsidRPr="00E845D2" w:rsidRDefault="006F72F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F72F8" w:rsidRPr="00E845D2" w:rsidRDefault="006F72F8" w:rsidP="00882F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72F8" w:rsidRPr="00E845D2" w:rsidRDefault="006F72F8" w:rsidP="00D234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F72F8" w:rsidRPr="00E845D2" w:rsidRDefault="006F72F8" w:rsidP="00D23461">
            <w:pPr>
              <w:jc w:val="center"/>
            </w:pPr>
          </w:p>
        </w:tc>
      </w:tr>
      <w:tr w:rsidR="00B904AE" w:rsidRPr="00E845D2" w:rsidTr="00F070C6">
        <w:trPr>
          <w:trHeight w:val="90"/>
        </w:trPr>
        <w:tc>
          <w:tcPr>
            <w:tcW w:w="99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  <w:r w:rsidRPr="00E845D2">
              <w:t>7.</w:t>
            </w:r>
          </w:p>
        </w:tc>
        <w:tc>
          <w:tcPr>
            <w:tcW w:w="45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B904AE" w:rsidRPr="00E845D2" w:rsidRDefault="00B904AE" w:rsidP="00882FDC">
            <w:pPr>
              <w:jc w:val="both"/>
            </w:pPr>
            <w:r w:rsidRPr="00E845D2">
              <w:rPr>
                <w:rFonts w:eastAsia="TrumpMediaevalLTStd-Bold"/>
                <w:bCs/>
              </w:rPr>
              <w:t xml:space="preserve">Discuss about Components of a SCADA System based on </w:t>
            </w:r>
            <w:r w:rsidRPr="00E845D2">
              <w:rPr>
                <w:rFonts w:eastAsia="Calibri"/>
              </w:rPr>
              <w:t>Traditional SCADA system topology, Networked SCADA communications.</w:t>
            </w:r>
          </w:p>
        </w:tc>
        <w:tc>
          <w:tcPr>
            <w:tcW w:w="1170" w:type="dxa"/>
            <w:shd w:val="clear" w:color="auto" w:fill="auto"/>
          </w:tcPr>
          <w:p w:rsidR="00B904AE" w:rsidRPr="00E845D2" w:rsidRDefault="00B904AE" w:rsidP="001A1871">
            <w:pPr>
              <w:jc w:val="center"/>
            </w:pPr>
            <w:r w:rsidRPr="00E845D2">
              <w:t>CO3</w:t>
            </w:r>
          </w:p>
        </w:tc>
        <w:tc>
          <w:tcPr>
            <w:tcW w:w="950" w:type="dxa"/>
            <w:shd w:val="clear" w:color="auto" w:fill="auto"/>
          </w:tcPr>
          <w:p w:rsidR="00B904AE" w:rsidRPr="00E845D2" w:rsidRDefault="00B904AE" w:rsidP="009B22C7">
            <w:pPr>
              <w:jc w:val="center"/>
            </w:pPr>
            <w:r w:rsidRPr="00E845D2">
              <w:t>20</w:t>
            </w:r>
          </w:p>
        </w:tc>
      </w:tr>
      <w:tr w:rsidR="006F72F8" w:rsidRPr="00E845D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F72F8" w:rsidRPr="00E845D2" w:rsidRDefault="006F72F8" w:rsidP="00882FDC">
            <w:pPr>
              <w:jc w:val="center"/>
              <w:rPr>
                <w:b/>
              </w:rPr>
            </w:pPr>
            <w:r w:rsidRPr="00E845D2">
              <w:rPr>
                <w:b/>
              </w:rPr>
              <w:t>(OR)</w:t>
            </w:r>
          </w:p>
        </w:tc>
      </w:tr>
      <w:tr w:rsidR="00B904AE" w:rsidRPr="00E845D2" w:rsidTr="00F070C6">
        <w:trPr>
          <w:trHeight w:val="42"/>
        </w:trPr>
        <w:tc>
          <w:tcPr>
            <w:tcW w:w="99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  <w:r w:rsidRPr="00E845D2">
              <w:t>8.</w:t>
            </w:r>
          </w:p>
        </w:tc>
        <w:tc>
          <w:tcPr>
            <w:tcW w:w="45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B904AE" w:rsidRPr="00E845D2" w:rsidRDefault="00E07E23" w:rsidP="00A617A8">
            <w:pPr>
              <w:autoSpaceDE w:val="0"/>
              <w:autoSpaceDN w:val="0"/>
              <w:adjustRightInd w:val="0"/>
              <w:jc w:val="both"/>
            </w:pPr>
            <w:r w:rsidRPr="00E845D2">
              <w:rPr>
                <w:rFonts w:eastAsia="Calibri"/>
              </w:rPr>
              <w:t>Discuss several data communication systems, which can be used for either</w:t>
            </w:r>
            <w:r w:rsidR="00A617A8" w:rsidRPr="00E845D2">
              <w:rPr>
                <w:rFonts w:eastAsia="Calibri"/>
              </w:rPr>
              <w:t xml:space="preserve"> </w:t>
            </w:r>
            <w:r w:rsidRPr="00E845D2">
              <w:rPr>
                <w:rFonts w:eastAsia="Calibri"/>
              </w:rPr>
              <w:t>relay or SCADA communications</w:t>
            </w:r>
            <w:r w:rsidR="00A617A8" w:rsidRPr="00E845D2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904AE" w:rsidRPr="00E845D2" w:rsidRDefault="00B904AE" w:rsidP="001A1871">
            <w:pPr>
              <w:jc w:val="center"/>
            </w:pPr>
            <w:r w:rsidRPr="00E845D2">
              <w:t>CO3</w:t>
            </w:r>
          </w:p>
        </w:tc>
        <w:tc>
          <w:tcPr>
            <w:tcW w:w="950" w:type="dxa"/>
            <w:shd w:val="clear" w:color="auto" w:fill="auto"/>
          </w:tcPr>
          <w:p w:rsidR="00B904AE" w:rsidRPr="00E845D2" w:rsidRDefault="00B904AE" w:rsidP="009B22C7">
            <w:pPr>
              <w:jc w:val="center"/>
            </w:pPr>
            <w:r w:rsidRPr="00E845D2">
              <w:t>20</w:t>
            </w:r>
          </w:p>
        </w:tc>
      </w:tr>
      <w:tr w:rsidR="006F72F8" w:rsidRPr="00E845D2" w:rsidTr="00F070C6">
        <w:trPr>
          <w:trHeight w:val="395"/>
        </w:trPr>
        <w:tc>
          <w:tcPr>
            <w:tcW w:w="1440" w:type="dxa"/>
            <w:gridSpan w:val="2"/>
            <w:shd w:val="clear" w:color="auto" w:fill="auto"/>
          </w:tcPr>
          <w:p w:rsidR="006F72F8" w:rsidRPr="00E845D2" w:rsidRDefault="006F72F8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F72F8" w:rsidRPr="00E845D2" w:rsidRDefault="006F72F8" w:rsidP="00882FDC">
            <w:pPr>
              <w:jc w:val="both"/>
              <w:rPr>
                <w:u w:val="single"/>
              </w:rPr>
            </w:pPr>
            <w:r w:rsidRPr="00E845D2">
              <w:rPr>
                <w:b/>
                <w:u w:val="single"/>
              </w:rPr>
              <w:t>Compulsory</w:t>
            </w:r>
            <w:r w:rsidRPr="00E845D2">
              <w:rPr>
                <w:u w:val="single"/>
              </w:rPr>
              <w:t>:</w:t>
            </w:r>
          </w:p>
          <w:p w:rsidR="00222209" w:rsidRPr="00E845D2" w:rsidRDefault="00222209" w:rsidP="00882FDC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F72F8" w:rsidRPr="00E845D2" w:rsidRDefault="006F72F8" w:rsidP="00D234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F72F8" w:rsidRPr="00E845D2" w:rsidRDefault="006F72F8" w:rsidP="00D23461">
            <w:pPr>
              <w:jc w:val="center"/>
            </w:pPr>
          </w:p>
        </w:tc>
      </w:tr>
      <w:tr w:rsidR="00B904AE" w:rsidRPr="00E845D2" w:rsidTr="00F070C6">
        <w:trPr>
          <w:trHeight w:val="42"/>
        </w:trPr>
        <w:tc>
          <w:tcPr>
            <w:tcW w:w="99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  <w:r w:rsidRPr="00E845D2">
              <w:t>9.</w:t>
            </w:r>
          </w:p>
        </w:tc>
        <w:tc>
          <w:tcPr>
            <w:tcW w:w="450" w:type="dxa"/>
            <w:shd w:val="clear" w:color="auto" w:fill="auto"/>
          </w:tcPr>
          <w:p w:rsidR="00B904AE" w:rsidRPr="00E845D2" w:rsidRDefault="00B904AE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B904AE" w:rsidRPr="00E845D2" w:rsidRDefault="00B904AE" w:rsidP="00396160">
            <w:pPr>
              <w:jc w:val="both"/>
            </w:pPr>
            <w:r w:rsidRPr="00E845D2">
              <w:rPr>
                <w:rFonts w:eastAsia="Calibri"/>
              </w:rPr>
              <w:t>With Control Flow Diagram</w:t>
            </w:r>
            <w:r w:rsidR="00396160">
              <w:rPr>
                <w:rFonts w:eastAsia="Calibri"/>
              </w:rPr>
              <w:t>,</w:t>
            </w:r>
            <w:r w:rsidRPr="00E845D2">
              <w:rPr>
                <w:rFonts w:eastAsia="Calibri"/>
              </w:rPr>
              <w:t xml:space="preserve"> </w:t>
            </w:r>
            <w:r w:rsidR="00396160">
              <w:rPr>
                <w:rFonts w:eastAsia="Calibri"/>
              </w:rPr>
              <w:t>d</w:t>
            </w:r>
            <w:r w:rsidRPr="00E845D2">
              <w:rPr>
                <w:rFonts w:eastAsia="Calibri"/>
              </w:rPr>
              <w:t>escribe Server-based substation control system architecture, Utility communication and security architecture with smart substation</w:t>
            </w:r>
            <w:r w:rsidR="00A617A8" w:rsidRPr="00E845D2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904AE" w:rsidRPr="00E845D2" w:rsidRDefault="00B904AE" w:rsidP="001A1871">
            <w:pPr>
              <w:jc w:val="center"/>
            </w:pPr>
            <w:r w:rsidRPr="00E845D2">
              <w:t>CO3</w:t>
            </w:r>
          </w:p>
        </w:tc>
        <w:tc>
          <w:tcPr>
            <w:tcW w:w="950" w:type="dxa"/>
            <w:shd w:val="clear" w:color="auto" w:fill="auto"/>
          </w:tcPr>
          <w:p w:rsidR="00B904AE" w:rsidRPr="00E845D2" w:rsidRDefault="00B904AE" w:rsidP="009B22C7">
            <w:pPr>
              <w:jc w:val="center"/>
            </w:pPr>
            <w:r w:rsidRPr="00E845D2">
              <w:t>20</w:t>
            </w:r>
          </w:p>
        </w:tc>
      </w:tr>
    </w:tbl>
    <w:p w:rsidR="008C7BA2" w:rsidRPr="00E845D2" w:rsidRDefault="008C7BA2" w:rsidP="008C7BA2"/>
    <w:p w:rsidR="00524CFE" w:rsidRPr="00E845D2" w:rsidRDefault="00524CFE" w:rsidP="008C7BA2"/>
    <w:sectPr w:rsidR="00524CFE" w:rsidRPr="00E845D2" w:rsidSect="00882FDC">
      <w:pgSz w:w="11907" w:h="16839" w:code="9"/>
      <w:pgMar w:top="288" w:right="576" w:bottom="288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EAB" w:rsidRDefault="00C73EAB" w:rsidP="00882FDC">
      <w:r>
        <w:separator/>
      </w:r>
    </w:p>
  </w:endnote>
  <w:endnote w:type="continuationSeparator" w:id="0">
    <w:p w:rsidR="00C73EAB" w:rsidRDefault="00C73EAB" w:rsidP="00882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umpMediaevalLTStd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EAB" w:rsidRDefault="00C73EAB" w:rsidP="00882FDC">
      <w:r>
        <w:separator/>
      </w:r>
    </w:p>
  </w:footnote>
  <w:footnote w:type="continuationSeparator" w:id="0">
    <w:p w:rsidR="00C73EAB" w:rsidRDefault="00C73EAB" w:rsidP="00882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1871"/>
    <w:rsid w:val="001D41FE"/>
    <w:rsid w:val="001D670F"/>
    <w:rsid w:val="001E2222"/>
    <w:rsid w:val="001F54D1"/>
    <w:rsid w:val="001F7E9B"/>
    <w:rsid w:val="00204EB0"/>
    <w:rsid w:val="00211ABA"/>
    <w:rsid w:val="00217763"/>
    <w:rsid w:val="00222209"/>
    <w:rsid w:val="00235351"/>
    <w:rsid w:val="00266439"/>
    <w:rsid w:val="0026653D"/>
    <w:rsid w:val="002733C9"/>
    <w:rsid w:val="002B1BD3"/>
    <w:rsid w:val="002D09FF"/>
    <w:rsid w:val="002D7611"/>
    <w:rsid w:val="002D76BB"/>
    <w:rsid w:val="002E336A"/>
    <w:rsid w:val="002E552A"/>
    <w:rsid w:val="00304757"/>
    <w:rsid w:val="003204A6"/>
    <w:rsid w:val="003206DF"/>
    <w:rsid w:val="00323989"/>
    <w:rsid w:val="00324247"/>
    <w:rsid w:val="00380146"/>
    <w:rsid w:val="003855F1"/>
    <w:rsid w:val="00396160"/>
    <w:rsid w:val="003B14BC"/>
    <w:rsid w:val="003B1F06"/>
    <w:rsid w:val="003C46D2"/>
    <w:rsid w:val="003C6BB4"/>
    <w:rsid w:val="003D2BF1"/>
    <w:rsid w:val="003D6DA3"/>
    <w:rsid w:val="003F728C"/>
    <w:rsid w:val="0045520B"/>
    <w:rsid w:val="00460118"/>
    <w:rsid w:val="0046314C"/>
    <w:rsid w:val="00466C9F"/>
    <w:rsid w:val="0046787F"/>
    <w:rsid w:val="0048260D"/>
    <w:rsid w:val="004F787A"/>
    <w:rsid w:val="00501F18"/>
    <w:rsid w:val="0050571C"/>
    <w:rsid w:val="005133D7"/>
    <w:rsid w:val="00524CFE"/>
    <w:rsid w:val="005527A4"/>
    <w:rsid w:val="00552CF0"/>
    <w:rsid w:val="00555146"/>
    <w:rsid w:val="00564645"/>
    <w:rsid w:val="005814FF"/>
    <w:rsid w:val="00581B1F"/>
    <w:rsid w:val="005A0B86"/>
    <w:rsid w:val="005D0F4A"/>
    <w:rsid w:val="005D1417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72F8"/>
    <w:rsid w:val="00714C68"/>
    <w:rsid w:val="00725A0A"/>
    <w:rsid w:val="007326F6"/>
    <w:rsid w:val="007330C8"/>
    <w:rsid w:val="00802202"/>
    <w:rsid w:val="00806A39"/>
    <w:rsid w:val="00814615"/>
    <w:rsid w:val="0081627E"/>
    <w:rsid w:val="00875196"/>
    <w:rsid w:val="00882FDC"/>
    <w:rsid w:val="0088784C"/>
    <w:rsid w:val="008A56BE"/>
    <w:rsid w:val="008A6193"/>
    <w:rsid w:val="008B0703"/>
    <w:rsid w:val="008C76B1"/>
    <w:rsid w:val="008C7BA2"/>
    <w:rsid w:val="00900A75"/>
    <w:rsid w:val="0090362A"/>
    <w:rsid w:val="00904D12"/>
    <w:rsid w:val="00911266"/>
    <w:rsid w:val="00942884"/>
    <w:rsid w:val="00944BF3"/>
    <w:rsid w:val="0095679B"/>
    <w:rsid w:val="00963CB5"/>
    <w:rsid w:val="009B22C7"/>
    <w:rsid w:val="009B53DD"/>
    <w:rsid w:val="009C5A1D"/>
    <w:rsid w:val="009E09A3"/>
    <w:rsid w:val="00A47E2A"/>
    <w:rsid w:val="00A553DB"/>
    <w:rsid w:val="00A617A8"/>
    <w:rsid w:val="00AA3F2E"/>
    <w:rsid w:val="00AA5E39"/>
    <w:rsid w:val="00AA6B40"/>
    <w:rsid w:val="00AC0397"/>
    <w:rsid w:val="00AE264C"/>
    <w:rsid w:val="00B009B1"/>
    <w:rsid w:val="00B20598"/>
    <w:rsid w:val="00B253AE"/>
    <w:rsid w:val="00B60E7E"/>
    <w:rsid w:val="00B83AB6"/>
    <w:rsid w:val="00B904AE"/>
    <w:rsid w:val="00B904D6"/>
    <w:rsid w:val="00B939EF"/>
    <w:rsid w:val="00B968DD"/>
    <w:rsid w:val="00BA2F7E"/>
    <w:rsid w:val="00BA539E"/>
    <w:rsid w:val="00BB5C6B"/>
    <w:rsid w:val="00BC7D01"/>
    <w:rsid w:val="00BE572D"/>
    <w:rsid w:val="00BF25ED"/>
    <w:rsid w:val="00BF3DE7"/>
    <w:rsid w:val="00C35772"/>
    <w:rsid w:val="00C3743D"/>
    <w:rsid w:val="00C60C6A"/>
    <w:rsid w:val="00C62C90"/>
    <w:rsid w:val="00C71847"/>
    <w:rsid w:val="00C73EAB"/>
    <w:rsid w:val="00C81140"/>
    <w:rsid w:val="00C95F18"/>
    <w:rsid w:val="00CB2395"/>
    <w:rsid w:val="00CB7A50"/>
    <w:rsid w:val="00CD31A5"/>
    <w:rsid w:val="00CE1825"/>
    <w:rsid w:val="00CE5503"/>
    <w:rsid w:val="00D0319F"/>
    <w:rsid w:val="00D23461"/>
    <w:rsid w:val="00D3698C"/>
    <w:rsid w:val="00D62341"/>
    <w:rsid w:val="00D64FF9"/>
    <w:rsid w:val="00D805C4"/>
    <w:rsid w:val="00D85619"/>
    <w:rsid w:val="00D94D54"/>
    <w:rsid w:val="00DE0497"/>
    <w:rsid w:val="00DF18AD"/>
    <w:rsid w:val="00E01649"/>
    <w:rsid w:val="00E07E23"/>
    <w:rsid w:val="00E44059"/>
    <w:rsid w:val="00E54572"/>
    <w:rsid w:val="00E5735F"/>
    <w:rsid w:val="00E577A9"/>
    <w:rsid w:val="00E70A47"/>
    <w:rsid w:val="00E824B7"/>
    <w:rsid w:val="00E845D2"/>
    <w:rsid w:val="00EB0EE0"/>
    <w:rsid w:val="00EB26EF"/>
    <w:rsid w:val="00F070C6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6F72F8"/>
    <w:rPr>
      <w:rFonts w:ascii="Century" w:eastAsia="Times New Roman" w:hAnsi="Century" w:cs="Times New Roman"/>
      <w:noProof/>
      <w:sz w:val="24"/>
      <w:lang w:val="en-GB"/>
    </w:rPr>
  </w:style>
  <w:style w:type="character" w:customStyle="1" w:styleId="NoSpacingChar">
    <w:name w:val="No Spacing Char"/>
    <w:link w:val="NoSpacing"/>
    <w:uiPriority w:val="1"/>
    <w:rsid w:val="006F72F8"/>
    <w:rPr>
      <w:rFonts w:ascii="Century" w:eastAsia="Times New Roman" w:hAnsi="Century" w:cs="Times New Roman"/>
      <w:noProof/>
      <w:sz w:val="24"/>
      <w:lang w:val="en-GB" w:bidi="ar-SA"/>
    </w:rPr>
  </w:style>
  <w:style w:type="paragraph" w:customStyle="1" w:styleId="Default">
    <w:name w:val="Default"/>
    <w:rsid w:val="005D141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82F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2FD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1FD7D-F404-4A35-824B-C323F25A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2018-02-24T11:09:00Z</cp:lastPrinted>
  <dcterms:created xsi:type="dcterms:W3CDTF">2019-11-26T10:42:00Z</dcterms:created>
  <dcterms:modified xsi:type="dcterms:W3CDTF">2019-11-26T10:42:00Z</dcterms:modified>
</cp:coreProperties>
</file>