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802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802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61BA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61BA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B26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61BA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B262C" w:rsidRDefault="00F61BA6" w:rsidP="00875196">
            <w:pPr>
              <w:pStyle w:val="Title"/>
              <w:jc w:val="left"/>
              <w:rPr>
                <w:b/>
                <w:szCs w:val="24"/>
              </w:rPr>
            </w:pPr>
            <w:r w:rsidRPr="009B262C">
              <w:rPr>
                <w:b/>
                <w:color w:val="333333"/>
                <w:szCs w:val="24"/>
                <w:shd w:val="clear" w:color="auto" w:fill="FFFFFF"/>
              </w:rPr>
              <w:t>FOUNDATIONS OF MATHEMATICS AND STATISTICS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3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810"/>
      </w:tblGrid>
      <w:tr w:rsidR="005D0F4A" w:rsidRPr="004725CA" w:rsidTr="009F143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61BA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61BA6">
            <w:pPr>
              <w:jc w:val="center"/>
            </w:pPr>
            <w:r w:rsidRPr="00875196"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1103E9" w:rsidRDefault="005D0F4A" w:rsidP="00670A67">
            <w:pPr>
              <w:rPr>
                <w:sz w:val="20"/>
                <w:szCs w:val="20"/>
              </w:rPr>
            </w:pPr>
            <w:r w:rsidRPr="001103E9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9F143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61BA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063F3" w:rsidP="00670A67">
            <w:r w:rsidRPr="00C35894">
              <w:t xml:space="preserve">Find the </w:t>
            </w:r>
            <w:r>
              <w:t>greatest term</w:t>
            </w:r>
            <w:r w:rsidRPr="00C35894">
              <w:t xml:space="preserve"> in the expansion of </w:t>
            </w:r>
            <w:r w:rsidRPr="004E3B11">
              <w:rPr>
                <w:position w:val="-10"/>
              </w:rPr>
              <w:object w:dxaOrig="80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24pt" o:ole="">
                  <v:imagedata r:id="rId8" o:title=""/>
                </v:shape>
                <o:OLEObject Type="Embed" ProgID="Equation.3" ShapeID="_x0000_i1025" DrawAspect="Content" ObjectID="_1557745908" r:id="rId9"/>
              </w:object>
            </w:r>
            <w:r>
              <w:t xml:space="preserve"> when </w:t>
            </w:r>
            <w:r w:rsidRPr="004E3B11">
              <w:rPr>
                <w:position w:val="-24"/>
              </w:rPr>
              <w:object w:dxaOrig="620" w:dyaOrig="620">
                <v:shape id="_x0000_i1026" type="#_x0000_t75" style="width:30.75pt;height:30.75pt" o:ole="">
                  <v:imagedata r:id="rId10" o:title=""/>
                </v:shape>
                <o:OLEObject Type="Embed" ProgID="Equation.3" ShapeID="_x0000_i1026" DrawAspect="Content" ObjectID="_1557745909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5D0F4A" w:rsidRPr="00EF5853" w:rsidTr="009F143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063F3" w:rsidP="00670A67">
            <w:r w:rsidRPr="00C35894">
              <w:t xml:space="preserve">Sum the series to infinity </w:t>
            </w:r>
            <w:r w:rsidRPr="00C35894">
              <w:rPr>
                <w:position w:val="-28"/>
              </w:rPr>
              <w:object w:dxaOrig="4940" w:dyaOrig="680">
                <v:shape id="_x0000_i1027" type="#_x0000_t75" style="width:246.75pt;height:33.75pt" o:ole="">
                  <v:imagedata r:id="rId12" o:title=""/>
                </v:shape>
                <o:OLEObject Type="Embed" ProgID="Equation.3" ShapeID="_x0000_i1027" DrawAspect="Content" ObjectID="_1557745910" r:id="rId13"/>
              </w:object>
            </w:r>
            <w:r w:rsidRPr="00C35894"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DE0497" w:rsidRPr="00EF5853" w:rsidTr="009F143B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DE0497" w:rsidRPr="005814FF" w:rsidRDefault="00DE0497" w:rsidP="00F61BA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F143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61BA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063F3" w:rsidP="00670A67">
            <w:r w:rsidRPr="00C35894">
              <w:t xml:space="preserve">Sum the series </w:t>
            </w:r>
            <w:r w:rsidRPr="00C35894">
              <w:rPr>
                <w:position w:val="-28"/>
              </w:rPr>
              <w:object w:dxaOrig="1300" w:dyaOrig="700">
                <v:shape id="_x0000_i1028" type="#_x0000_t75" style="width:65.25pt;height:35.25pt" o:ole="">
                  <v:imagedata r:id="rId14" o:title=""/>
                </v:shape>
                <o:OLEObject Type="Embed" ProgID="Equation.3" ShapeID="_x0000_i1028" DrawAspect="Content" ObjectID="_1557745911" r:id="rId15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5D0F4A" w:rsidRPr="00EF5853" w:rsidTr="009F143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063F3" w:rsidP="00670A67">
            <w:r w:rsidRPr="00C35894">
              <w:t xml:space="preserve">Evaluate </w:t>
            </w:r>
            <w:r>
              <w:t xml:space="preserve"> (</w:t>
            </w:r>
            <w:proofErr w:type="spellStart"/>
            <w:r>
              <w:t>i</w:t>
            </w:r>
            <w:proofErr w:type="spellEnd"/>
            <w:r>
              <w:t>)</w:t>
            </w:r>
            <w:r w:rsidRPr="00C35894">
              <w:t xml:space="preserve"> </w:t>
            </w:r>
            <w:r w:rsidRPr="00206A7D">
              <w:rPr>
                <w:position w:val="-30"/>
              </w:rPr>
              <w:object w:dxaOrig="1939" w:dyaOrig="740">
                <v:shape id="_x0000_i1029" type="#_x0000_t75" style="width:96.75pt;height:36.75pt" o:ole="">
                  <v:imagedata r:id="rId16" o:title=""/>
                </v:shape>
                <o:OLEObject Type="Embed" ProgID="Equation.3" ShapeID="_x0000_i1029" DrawAspect="Content" ObjectID="_1557745912" r:id="rId17"/>
              </w:object>
            </w:r>
            <w:r w:rsidRPr="00C35894">
              <w:t xml:space="preserve">  </w:t>
            </w:r>
            <w:r>
              <w:t xml:space="preserve"> (ii) </w:t>
            </w:r>
            <w:r w:rsidRPr="00206A7D">
              <w:rPr>
                <w:position w:val="-28"/>
              </w:rPr>
              <w:object w:dxaOrig="1520" w:dyaOrig="700">
                <v:shape id="_x0000_i1030" type="#_x0000_t75" style="width:75.75pt;height:35.25pt" o:ole="">
                  <v:imagedata r:id="rId18" o:title=""/>
                </v:shape>
                <o:OLEObject Type="Embed" ProgID="Equation.3" ShapeID="_x0000_i1030" DrawAspect="Content" ObjectID="_1557745913" r:id="rId19"/>
              </w:object>
            </w:r>
            <w:r w:rsidRPr="00C35894">
              <w:t xml:space="preserve">        </w:t>
            </w:r>
            <w:r>
              <w:t xml:space="preserve">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670A67">
            <w:r w:rsidRPr="00C35894">
              <w:t xml:space="preserve">Find the maxima and minima values of </w:t>
            </w:r>
            <w:r w:rsidRPr="00C35894">
              <w:rPr>
                <w:position w:val="-10"/>
              </w:rPr>
              <w:object w:dxaOrig="3100" w:dyaOrig="360">
                <v:shape id="_x0000_i1031" type="#_x0000_t75" style="width:155.25pt;height:18pt" o:ole="">
                  <v:imagedata r:id="rId20" o:title=""/>
                </v:shape>
                <o:OLEObject Type="Embed" ProgID="Equation.3" ShapeID="_x0000_i1031" DrawAspect="Content" ObjectID="_1557745914" r:id="rId21"/>
              </w:object>
            </w:r>
            <w:r w:rsidRPr="00C35894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670A67">
            <w:r>
              <w:t>Derive the product</w:t>
            </w:r>
            <w:r w:rsidRPr="00C35894">
              <w:t xml:space="preserve"> rule of differentiation. Also find the value </w:t>
            </w:r>
            <w:proofErr w:type="gramStart"/>
            <w:r w:rsidRPr="00C35894">
              <w:t xml:space="preserve">of </w:t>
            </w:r>
            <w:proofErr w:type="gramEnd"/>
            <w:r w:rsidRPr="006466F1">
              <w:rPr>
                <w:position w:val="-24"/>
              </w:rPr>
              <w:object w:dxaOrig="1320" w:dyaOrig="620">
                <v:shape id="_x0000_i1032" type="#_x0000_t75" style="width:66pt;height:30.75pt" o:ole="">
                  <v:imagedata r:id="rId22" o:title=""/>
                </v:shape>
                <o:OLEObject Type="Embed" ProgID="Equation.3" ShapeID="_x0000_i1032" DrawAspect="Content" ObjectID="_1557745915" r:id="rId23"/>
              </w:object>
            </w:r>
            <w:r w:rsidRPr="00C35894">
              <w:t xml:space="preserve">.   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9F143B" w:rsidRPr="00EF5853" w:rsidTr="009F143B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9F143B" w:rsidRPr="005814FF" w:rsidRDefault="009F143B" w:rsidP="00F61BA6">
            <w:pPr>
              <w:jc w:val="center"/>
            </w:pPr>
            <w:r w:rsidRPr="005814FF">
              <w:t>(OR)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670A67">
            <w:r w:rsidRPr="00C35894">
              <w:t xml:space="preserve">Derive the quotient rule of differentiation. Also find the value </w:t>
            </w:r>
            <w:proofErr w:type="gramStart"/>
            <w:r w:rsidRPr="00C35894">
              <w:t xml:space="preserve">of </w:t>
            </w:r>
            <w:proofErr w:type="gramEnd"/>
            <w:r w:rsidRPr="00C35894">
              <w:rPr>
                <w:position w:val="-32"/>
              </w:rPr>
              <w:object w:dxaOrig="1219" w:dyaOrig="760">
                <v:shape id="_x0000_i1033" type="#_x0000_t75" style="width:60.75pt;height:38.25pt" o:ole="">
                  <v:imagedata r:id="rId24" o:title=""/>
                </v:shape>
                <o:OLEObject Type="Embed" ProgID="Equation.3" ShapeID="_x0000_i1033" DrawAspect="Content" ObjectID="_1557745916" r:id="rId25"/>
              </w:object>
            </w:r>
            <w:r w:rsidRPr="00C35894">
              <w:t xml:space="preserve">.   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62C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E36C6A">
            <w:r>
              <w:t xml:space="preserve">A window has the form of a rectangle </w:t>
            </w:r>
            <w:proofErr w:type="spellStart"/>
            <w:r>
              <w:t>surmounded</w:t>
            </w:r>
            <w:proofErr w:type="spellEnd"/>
            <w:r>
              <w:t xml:space="preserve"> by a semicircle. If the perimeter is 40 ft.,     find its dimensions so that the greatest amount of light may be admitted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62C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6063F3" w:rsidRDefault="006063F3" w:rsidP="00670A67">
            <w:r w:rsidRPr="00C35894">
              <w:t>Evaluate  (</w:t>
            </w:r>
            <w:proofErr w:type="spellStart"/>
            <w:r w:rsidRPr="00C35894">
              <w:t>i</w:t>
            </w:r>
            <w:proofErr w:type="spellEnd"/>
            <w:r w:rsidRPr="00C35894">
              <w:t xml:space="preserve">)  </w:t>
            </w:r>
            <w:r w:rsidRPr="00351310">
              <w:rPr>
                <w:position w:val="-24"/>
              </w:rPr>
              <w:object w:dxaOrig="1260" w:dyaOrig="660">
                <v:shape id="_x0000_i1034" type="#_x0000_t75" style="width:63pt;height:33pt" o:ole="">
                  <v:imagedata r:id="rId26" o:title=""/>
                </v:shape>
                <o:OLEObject Type="Embed" ProgID="Equation.3" ShapeID="_x0000_i1034" DrawAspect="Content" ObjectID="_1557745917" r:id="rId27"/>
              </w:object>
            </w:r>
            <w:r w:rsidRPr="00C35894">
              <w:t xml:space="preserve">      (ii)  </w:t>
            </w:r>
            <w:r w:rsidRPr="00351310">
              <w:rPr>
                <w:position w:val="-32"/>
              </w:rPr>
              <w:object w:dxaOrig="1860" w:dyaOrig="760">
                <v:shape id="_x0000_i1035" type="#_x0000_t75" style="width:93pt;height:38.25pt" o:ole="">
                  <v:imagedata r:id="rId28" o:title=""/>
                </v:shape>
                <o:OLEObject Type="Embed" ProgID="Equation.3" ShapeID="_x0000_i1035" DrawAspect="Content" ObjectID="_1557745918" r:id="rId29"/>
              </w:object>
            </w:r>
            <w:r w:rsidRPr="00C35894">
              <w:t xml:space="preserve">     </w:t>
            </w:r>
          </w:p>
          <w:p w:rsidR="006063F3" w:rsidRPr="00EF5853" w:rsidRDefault="006063F3" w:rsidP="00670A67">
            <w:r w:rsidRPr="00C35894">
              <w:t xml:space="preserve"> (iii) </w:t>
            </w:r>
            <w:r w:rsidRPr="00C35894">
              <w:rPr>
                <w:position w:val="-24"/>
              </w:rPr>
              <w:object w:dxaOrig="1160" w:dyaOrig="680">
                <v:shape id="_x0000_i1036" type="#_x0000_t75" style="width:57.75pt;height:33.75pt" o:ole="">
                  <v:imagedata r:id="rId30" o:title=""/>
                </v:shape>
                <o:OLEObject Type="Embed" ProgID="Equation.3" ShapeID="_x0000_i1036" DrawAspect="Content" ObjectID="_1557745919" r:id="rId31"/>
              </w:object>
            </w:r>
            <w:r w:rsidRPr="00C35894">
              <w:t xml:space="preserve">       </w:t>
            </w:r>
            <w:r>
              <w:t xml:space="preserve">     </w:t>
            </w:r>
            <w:r w:rsidRPr="00C35894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62C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15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670A67">
            <w:r w:rsidRPr="00C35894">
              <w:t xml:space="preserve">Evaluate  </w:t>
            </w:r>
            <w:r w:rsidRPr="00C35894">
              <w:rPr>
                <w:position w:val="-34"/>
              </w:rPr>
              <w:object w:dxaOrig="2020" w:dyaOrig="800">
                <v:shape id="_x0000_i1037" type="#_x0000_t75" style="width:101.25pt;height:39.75pt" o:ole="">
                  <v:imagedata r:id="rId32" o:title=""/>
                </v:shape>
                <o:OLEObject Type="Embed" ProgID="Equation.3" ShapeID="_x0000_i1037" DrawAspect="Content" ObjectID="_1557745920" r:id="rId33"/>
              </w:objec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62C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5</w:t>
            </w:r>
          </w:p>
        </w:tc>
      </w:tr>
      <w:tr w:rsidR="009F143B" w:rsidRPr="00EF5853" w:rsidTr="009F143B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9F143B" w:rsidRPr="005814FF" w:rsidRDefault="009F143B" w:rsidP="00F61BA6">
            <w:pPr>
              <w:jc w:val="center"/>
            </w:pPr>
            <w:r w:rsidRPr="005814FF">
              <w:t>(OR)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6063F3">
            <w:r w:rsidRPr="00C35894">
              <w:t xml:space="preserve">Derive the integration by parts formula. Using the integration by parts, evaluate </w:t>
            </w:r>
            <w:r w:rsidRPr="00C35894">
              <w:rPr>
                <w:position w:val="-16"/>
              </w:rPr>
              <w:object w:dxaOrig="960" w:dyaOrig="440">
                <v:shape id="_x0000_i1038" type="#_x0000_t75" style="width:48pt;height:21.75pt" o:ole="">
                  <v:imagedata r:id="rId34" o:title=""/>
                </v:shape>
                <o:OLEObject Type="Embed" ProgID="Equation.3" ShapeID="_x0000_i1038" DrawAspect="Content" ObjectID="_1557745921" r:id="rId35"/>
              </w:objec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62C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F61BA6" w:rsidRDefault="006063F3" w:rsidP="00670A67">
            <w:r w:rsidRPr="00C35894">
              <w:t xml:space="preserve">Evaluate using Bernoulli’s formula </w:t>
            </w:r>
            <w:r w:rsidRPr="00C35894">
              <w:rPr>
                <w:position w:val="-32"/>
              </w:rPr>
              <w:object w:dxaOrig="999" w:dyaOrig="760">
                <v:shape id="_x0000_i1039" type="#_x0000_t75" style="width:50.25pt;height:38.25pt" o:ole="">
                  <v:imagedata r:id="rId36" o:title=""/>
                </v:shape>
                <o:OLEObject Type="Embed" ProgID="Equation.3" ShapeID="_x0000_i1039" DrawAspect="Content" ObjectID="_1557745922" r:id="rId37"/>
              </w:object>
            </w:r>
            <w:r w:rsidRPr="00C35894">
              <w:t xml:space="preserve">          </w:t>
            </w:r>
          </w:p>
          <w:p w:rsidR="00F61BA6" w:rsidRDefault="00F61BA6" w:rsidP="00670A67"/>
          <w:p w:rsidR="006063F3" w:rsidRPr="00EF5853" w:rsidRDefault="006063F3" w:rsidP="00670A67">
            <w:r w:rsidRPr="00C35894">
              <w:t xml:space="preserve">               </w:t>
            </w:r>
            <w:r>
              <w:t xml:space="preserve">                            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363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62C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6063F3">
            <w:r>
              <w:t>In a normal distribution 31% of the items are under 45 and 8% are over 64. Find the mean and S.D</w:t>
            </w:r>
            <w:r w:rsidR="00F61BA6">
              <w:t>.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262C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5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F61BA6">
            <w:pPr>
              <w:jc w:val="both"/>
            </w:pPr>
            <w:r>
              <w:t>A certain screw making machine produces on average of 2 defective screws out of 100 and packs them in boxes of 500. Find the probability that a box contains 15 defective screws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5</w:t>
            </w:r>
          </w:p>
        </w:tc>
      </w:tr>
      <w:tr w:rsidR="006063F3" w:rsidRPr="00EF5853" w:rsidTr="009F143B">
        <w:trPr>
          <w:trHeight w:val="90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F61BA6">
            <w:pPr>
              <w:jc w:val="both"/>
            </w:pPr>
            <w:r w:rsidRPr="00C35894">
              <w:t>In a test on 2000 electric bulbs, it was found that the life of a particular make was normally</w:t>
            </w:r>
            <w:r>
              <w:t xml:space="preserve"> d</w:t>
            </w:r>
            <w:r w:rsidRPr="00C35894">
              <w:t>istributed</w:t>
            </w:r>
            <w:r>
              <w:t xml:space="preserve"> </w:t>
            </w:r>
            <w:r w:rsidRPr="00C35894">
              <w:t>with an average life of 2040 hours and S.D of 60 hours. Estimate the number of bulbs likely to burn for</w:t>
            </w:r>
            <w:r>
              <w:t xml:space="preserve"> </w:t>
            </w:r>
            <w:r w:rsidRPr="00C35894">
              <w:t>(</w:t>
            </w:r>
            <w:proofErr w:type="spellStart"/>
            <w:r w:rsidRPr="00C35894">
              <w:t>i</w:t>
            </w:r>
            <w:proofErr w:type="spellEnd"/>
            <w:r w:rsidRPr="00C35894">
              <w:t>)</w:t>
            </w:r>
            <w:r>
              <w:t xml:space="preserve"> </w:t>
            </w:r>
            <w:r w:rsidRPr="00C35894">
              <w:t xml:space="preserve">more than 2150 </w:t>
            </w:r>
            <w:proofErr w:type="gramStart"/>
            <w:r w:rsidRPr="00C35894">
              <w:t>hours  (</w:t>
            </w:r>
            <w:proofErr w:type="gramEnd"/>
            <w:r w:rsidRPr="00C35894">
              <w:t>ii) less than 1950 hours  (iii) more than 1920</w:t>
            </w:r>
            <w:r>
              <w:t xml:space="preserve"> </w:t>
            </w:r>
            <w:r w:rsidRPr="00C35894">
              <w:t>hours but less than 2160 hours.</w:t>
            </w:r>
            <w:r>
              <w:t xml:space="preserve">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42"/>
        </w:trPr>
        <w:tc>
          <w:tcPr>
            <w:tcW w:w="9938" w:type="dxa"/>
            <w:gridSpan w:val="5"/>
            <w:shd w:val="clear" w:color="auto" w:fill="auto"/>
          </w:tcPr>
          <w:p w:rsidR="006063F3" w:rsidRPr="005814FF" w:rsidRDefault="006063F3" w:rsidP="00F61BA6">
            <w:pPr>
              <w:jc w:val="center"/>
            </w:pPr>
            <w:r w:rsidRPr="005814FF">
              <w:t>(OR)</w:t>
            </w:r>
          </w:p>
        </w:tc>
      </w:tr>
      <w:tr w:rsidR="006063F3" w:rsidRPr="00EF5853" w:rsidTr="009F143B">
        <w:trPr>
          <w:trHeight w:val="42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6063F3" w:rsidRPr="00C35894" w:rsidRDefault="006063F3" w:rsidP="006063F3">
            <w:r>
              <w:t xml:space="preserve">Fit a Poisson distribution to the set of observations </w:t>
            </w:r>
            <w:r w:rsidRPr="00C35894">
              <w:t xml:space="preserve">:                                                 </w:t>
            </w:r>
          </w:p>
          <w:tbl>
            <w:tblPr>
              <w:tblW w:w="0" w:type="auto"/>
              <w:tblInd w:w="7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30"/>
              <w:gridCol w:w="870"/>
              <w:gridCol w:w="990"/>
              <w:gridCol w:w="1080"/>
              <w:gridCol w:w="1080"/>
              <w:gridCol w:w="990"/>
            </w:tblGrid>
            <w:tr w:rsidR="006063F3" w:rsidRPr="00C35894" w:rsidTr="003636AE">
              <w:tc>
                <w:tcPr>
                  <w:tcW w:w="93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x</w:t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4</w:t>
                  </w:r>
                </w:p>
              </w:tc>
            </w:tr>
            <w:tr w:rsidR="006063F3" w:rsidRPr="00C35894" w:rsidTr="003636AE">
              <w:tc>
                <w:tcPr>
                  <w:tcW w:w="93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f</w:t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1</w:t>
                  </w:r>
                  <w:r>
                    <w:t>22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1</w:t>
                  </w:r>
                </w:p>
              </w:tc>
            </w:tr>
          </w:tbl>
          <w:p w:rsidR="006063F3" w:rsidRPr="00EF5853" w:rsidRDefault="006063F3" w:rsidP="00670A67"/>
        </w:tc>
        <w:tc>
          <w:tcPr>
            <w:tcW w:w="1170" w:type="dxa"/>
            <w:shd w:val="clear" w:color="auto" w:fill="auto"/>
          </w:tcPr>
          <w:p w:rsidR="006063F3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42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6063F3" w:rsidRPr="00C35894" w:rsidRDefault="006063F3" w:rsidP="006063F3">
            <w:r w:rsidRPr="00C35894">
              <w:t xml:space="preserve">Fit a </w:t>
            </w:r>
            <w:r>
              <w:t>Binomial</w:t>
            </w:r>
            <w:r w:rsidRPr="00C35894">
              <w:t xml:space="preserve"> curve to the following distribution:           </w:t>
            </w:r>
            <w:r>
              <w:t xml:space="preserve">                        </w:t>
            </w:r>
          </w:p>
          <w:tbl>
            <w:tblPr>
              <w:tblW w:w="0" w:type="auto"/>
              <w:tblInd w:w="7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30"/>
              <w:gridCol w:w="870"/>
              <w:gridCol w:w="990"/>
              <w:gridCol w:w="1080"/>
              <w:gridCol w:w="1080"/>
              <w:gridCol w:w="990"/>
            </w:tblGrid>
            <w:tr w:rsidR="006063F3" w:rsidRPr="00C35894" w:rsidTr="003636AE">
              <w:tc>
                <w:tcPr>
                  <w:tcW w:w="93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x</w:t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2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4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6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8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10</w:t>
                  </w:r>
                </w:p>
              </w:tc>
            </w:tr>
            <w:tr w:rsidR="006063F3" w:rsidRPr="00C35894" w:rsidTr="003636AE">
              <w:tc>
                <w:tcPr>
                  <w:tcW w:w="93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f</w:t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1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4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6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4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F61BA6">
                  <w:pPr>
                    <w:jc w:val="center"/>
                  </w:pPr>
                  <w:r w:rsidRPr="00C35894">
                    <w:t>1</w:t>
                  </w:r>
                </w:p>
              </w:tc>
            </w:tr>
          </w:tbl>
          <w:p w:rsidR="006063F3" w:rsidRPr="00EF5853" w:rsidRDefault="006063F3" w:rsidP="00670A67"/>
        </w:tc>
        <w:tc>
          <w:tcPr>
            <w:tcW w:w="1170" w:type="dxa"/>
            <w:shd w:val="clear" w:color="auto" w:fill="auto"/>
          </w:tcPr>
          <w:p w:rsidR="006063F3" w:rsidRPr="00875196" w:rsidRDefault="006063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  <w:tr w:rsidR="006063F3" w:rsidRPr="00EF5853" w:rsidTr="009F143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063F3" w:rsidRPr="00875196" w:rsidRDefault="006063F3" w:rsidP="00670A67">
            <w:pPr>
              <w:rPr>
                <w:u w:val="single"/>
              </w:rPr>
            </w:pPr>
            <w:r w:rsidRPr="00F61BA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6063F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</w:p>
        </w:tc>
      </w:tr>
      <w:tr w:rsidR="006063F3" w:rsidRPr="00EF5853" w:rsidTr="009F143B">
        <w:trPr>
          <w:trHeight w:val="42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F61BA6">
            <w:pPr>
              <w:jc w:val="both"/>
            </w:pPr>
            <w:r>
              <w:t xml:space="preserve">A sample size of 600 persons selected at random from a large city shows that the percentage of males in the sample is 53. It is believed that the ratio of males to the total population in </w:t>
            </w:r>
            <w:proofErr w:type="gramStart"/>
            <w:r>
              <w:t>the  city</w:t>
            </w:r>
            <w:proofErr w:type="gramEnd"/>
            <w:r>
              <w:t xml:space="preserve"> is </w:t>
            </w:r>
            <w:r w:rsidRPr="00831893">
              <w:rPr>
                <w:position w:val="-24"/>
              </w:rPr>
              <w:object w:dxaOrig="240" w:dyaOrig="620">
                <v:shape id="_x0000_i1040" type="#_x0000_t75" style="width:12pt;height:30.75pt" o:ole="">
                  <v:imagedata r:id="rId38" o:title=""/>
                </v:shape>
                <o:OLEObject Type="Embed" ProgID="Equation.3" ShapeID="_x0000_i1040" DrawAspect="Content" ObjectID="_1557745923" r:id="rId39"/>
              </w:object>
            </w:r>
            <w:r>
              <w:t>. Test whether the belief is confirmed by the observation</w:t>
            </w:r>
          </w:p>
        </w:tc>
        <w:tc>
          <w:tcPr>
            <w:tcW w:w="1170" w:type="dxa"/>
            <w:shd w:val="clear" w:color="auto" w:fill="auto"/>
          </w:tcPr>
          <w:p w:rsidR="006063F3" w:rsidRPr="00875196" w:rsidRDefault="009B2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5</w:t>
            </w:r>
          </w:p>
        </w:tc>
      </w:tr>
      <w:tr w:rsidR="006063F3" w:rsidRPr="00EF5853" w:rsidTr="009F143B">
        <w:trPr>
          <w:trHeight w:val="42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6063F3" w:rsidRPr="00EF5853" w:rsidRDefault="006063F3" w:rsidP="00F61BA6">
            <w:pPr>
              <w:jc w:val="both"/>
            </w:pPr>
            <w:r w:rsidRPr="00C35894">
              <w:t>The means of large samples of sizes 2000 and 1000 are 68 and 67.5 respectively. Can the samples be regarded as drawn from the same population of S</w:t>
            </w:r>
            <w:r>
              <w:t xml:space="preserve">.D </w:t>
            </w:r>
            <w:proofErr w:type="gramStart"/>
            <w:r>
              <w:t>2.25</w:t>
            </w:r>
            <w:r w:rsidR="007F51F5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6063F3" w:rsidRPr="00875196" w:rsidRDefault="009B2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5</w:t>
            </w:r>
          </w:p>
        </w:tc>
      </w:tr>
      <w:tr w:rsidR="006063F3" w:rsidRPr="00EF5853" w:rsidTr="009F143B">
        <w:trPr>
          <w:trHeight w:val="42"/>
        </w:trPr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63F3" w:rsidRPr="00EF5853" w:rsidRDefault="006063F3" w:rsidP="00F61BA6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6063F3" w:rsidRPr="00C35894" w:rsidRDefault="006063F3" w:rsidP="00E36C6A">
            <w:r w:rsidRPr="00C35894">
              <w:t xml:space="preserve">Given the following contingency table for hair color and eye color. Is there good association between the </w:t>
            </w:r>
            <w:proofErr w:type="gramStart"/>
            <w:r w:rsidRPr="00C35894">
              <w:t>two.</w:t>
            </w:r>
            <w:proofErr w:type="gramEnd"/>
            <w:r w:rsidRPr="00C35894">
              <w:t xml:space="preserve"> </w:t>
            </w:r>
            <w:r>
              <w:t xml:space="preserve">                                                                                                     </w:t>
            </w:r>
            <w:r w:rsidRPr="00C35894">
              <w:t xml:space="preserve">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73"/>
              <w:gridCol w:w="1077"/>
              <w:gridCol w:w="1080"/>
              <w:gridCol w:w="990"/>
              <w:gridCol w:w="990"/>
              <w:gridCol w:w="990"/>
            </w:tblGrid>
            <w:tr w:rsidR="006063F3" w:rsidRPr="00C35894" w:rsidTr="00E36C6A">
              <w:tc>
                <w:tcPr>
                  <w:tcW w:w="1173" w:type="dxa"/>
                  <w:shd w:val="clear" w:color="auto" w:fill="auto"/>
                </w:tcPr>
                <w:p w:rsidR="006063F3" w:rsidRPr="00C35894" w:rsidRDefault="006063F3" w:rsidP="003636AE"/>
              </w:tc>
              <w:tc>
                <w:tcPr>
                  <w:tcW w:w="1077" w:type="dxa"/>
                  <w:shd w:val="clear" w:color="auto" w:fill="auto"/>
                </w:tcPr>
                <w:p w:rsidR="006063F3" w:rsidRPr="00C35894" w:rsidRDefault="006063F3" w:rsidP="003636AE"/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Fair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Brown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Black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Total</w:t>
                  </w:r>
                </w:p>
              </w:tc>
            </w:tr>
            <w:tr w:rsidR="006063F3" w:rsidRPr="00C35894" w:rsidTr="00E36C6A">
              <w:tc>
                <w:tcPr>
                  <w:tcW w:w="1173" w:type="dxa"/>
                  <w:vMerge w:val="restart"/>
                  <w:shd w:val="clear" w:color="auto" w:fill="auto"/>
                </w:tcPr>
                <w:p w:rsidR="006063F3" w:rsidRPr="00C35894" w:rsidRDefault="006063F3" w:rsidP="003636AE">
                  <w:r w:rsidRPr="00C35894">
                    <w:t>Eye Color</w:t>
                  </w:r>
                </w:p>
              </w:tc>
              <w:tc>
                <w:tcPr>
                  <w:tcW w:w="1077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Blue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15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5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20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40</w:t>
                  </w:r>
                </w:p>
              </w:tc>
            </w:tr>
            <w:tr w:rsidR="006063F3" w:rsidRPr="00C35894" w:rsidTr="00E36C6A">
              <w:tc>
                <w:tcPr>
                  <w:tcW w:w="1173" w:type="dxa"/>
                  <w:vMerge/>
                  <w:shd w:val="clear" w:color="auto" w:fill="auto"/>
                </w:tcPr>
                <w:p w:rsidR="006063F3" w:rsidRPr="00C35894" w:rsidRDefault="006063F3" w:rsidP="003636AE"/>
              </w:tc>
              <w:tc>
                <w:tcPr>
                  <w:tcW w:w="1077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Grey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20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10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20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50</w:t>
                  </w:r>
                </w:p>
              </w:tc>
            </w:tr>
            <w:tr w:rsidR="006063F3" w:rsidRPr="00C35894" w:rsidTr="00E36C6A">
              <w:tc>
                <w:tcPr>
                  <w:tcW w:w="1173" w:type="dxa"/>
                  <w:vMerge/>
                  <w:shd w:val="clear" w:color="auto" w:fill="auto"/>
                </w:tcPr>
                <w:p w:rsidR="006063F3" w:rsidRPr="00C35894" w:rsidRDefault="006063F3" w:rsidP="003636AE"/>
              </w:tc>
              <w:tc>
                <w:tcPr>
                  <w:tcW w:w="1077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Brown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25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15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20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60</w:t>
                  </w:r>
                </w:p>
              </w:tc>
            </w:tr>
            <w:tr w:rsidR="006063F3" w:rsidRPr="00C35894" w:rsidTr="00E36C6A">
              <w:tc>
                <w:tcPr>
                  <w:tcW w:w="1173" w:type="dxa"/>
                  <w:vMerge/>
                  <w:shd w:val="clear" w:color="auto" w:fill="auto"/>
                </w:tcPr>
                <w:p w:rsidR="006063F3" w:rsidRPr="00C35894" w:rsidRDefault="006063F3" w:rsidP="003636AE"/>
              </w:tc>
              <w:tc>
                <w:tcPr>
                  <w:tcW w:w="1077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Total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60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30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60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6063F3" w:rsidRPr="00C35894" w:rsidRDefault="006063F3" w:rsidP="003636AE">
                  <w:r w:rsidRPr="00C35894">
                    <w:t>150</w:t>
                  </w:r>
                </w:p>
              </w:tc>
            </w:tr>
          </w:tbl>
          <w:p w:rsidR="006063F3" w:rsidRPr="00EF5853" w:rsidRDefault="006063F3" w:rsidP="00670A67"/>
        </w:tc>
        <w:tc>
          <w:tcPr>
            <w:tcW w:w="1170" w:type="dxa"/>
            <w:shd w:val="clear" w:color="auto" w:fill="auto"/>
          </w:tcPr>
          <w:p w:rsidR="006063F3" w:rsidRPr="00875196" w:rsidRDefault="009B26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63F3" w:rsidRPr="005814FF" w:rsidRDefault="006063F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F143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54A"/>
    <w:rsid w:val="00061821"/>
    <w:rsid w:val="000F3EFE"/>
    <w:rsid w:val="001103E9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097C"/>
    <w:rsid w:val="00304757"/>
    <w:rsid w:val="00324247"/>
    <w:rsid w:val="00371F83"/>
    <w:rsid w:val="00380146"/>
    <w:rsid w:val="00383C43"/>
    <w:rsid w:val="003855F1"/>
    <w:rsid w:val="003B14BC"/>
    <w:rsid w:val="003B1F06"/>
    <w:rsid w:val="003C6BB4"/>
    <w:rsid w:val="003F375E"/>
    <w:rsid w:val="00401CE1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063F3"/>
    <w:rsid w:val="0062605C"/>
    <w:rsid w:val="00670A67"/>
    <w:rsid w:val="00680228"/>
    <w:rsid w:val="00681B25"/>
    <w:rsid w:val="006C7354"/>
    <w:rsid w:val="00725A0A"/>
    <w:rsid w:val="007326F6"/>
    <w:rsid w:val="007379F5"/>
    <w:rsid w:val="0079607C"/>
    <w:rsid w:val="007F51F5"/>
    <w:rsid w:val="00802202"/>
    <w:rsid w:val="0081627E"/>
    <w:rsid w:val="00875196"/>
    <w:rsid w:val="008A56BE"/>
    <w:rsid w:val="008B0703"/>
    <w:rsid w:val="00904D12"/>
    <w:rsid w:val="0095679B"/>
    <w:rsid w:val="009B262C"/>
    <w:rsid w:val="009B53DD"/>
    <w:rsid w:val="009C5A1D"/>
    <w:rsid w:val="009F143B"/>
    <w:rsid w:val="00A24D78"/>
    <w:rsid w:val="00A54306"/>
    <w:rsid w:val="00AA2F87"/>
    <w:rsid w:val="00AA3F2E"/>
    <w:rsid w:val="00AA5E39"/>
    <w:rsid w:val="00AA6B40"/>
    <w:rsid w:val="00AE264C"/>
    <w:rsid w:val="00B009B1"/>
    <w:rsid w:val="00B46B3B"/>
    <w:rsid w:val="00B60E7E"/>
    <w:rsid w:val="00BA539E"/>
    <w:rsid w:val="00BB5C6B"/>
    <w:rsid w:val="00BF25ED"/>
    <w:rsid w:val="00C3743D"/>
    <w:rsid w:val="00C459C7"/>
    <w:rsid w:val="00C60C6A"/>
    <w:rsid w:val="00C81140"/>
    <w:rsid w:val="00C95F18"/>
    <w:rsid w:val="00CB2395"/>
    <w:rsid w:val="00CB7A50"/>
    <w:rsid w:val="00CE1825"/>
    <w:rsid w:val="00CE5503"/>
    <w:rsid w:val="00D338DA"/>
    <w:rsid w:val="00D3698C"/>
    <w:rsid w:val="00D62341"/>
    <w:rsid w:val="00D64FF9"/>
    <w:rsid w:val="00D94D54"/>
    <w:rsid w:val="00DE0497"/>
    <w:rsid w:val="00E36C6A"/>
    <w:rsid w:val="00E70A47"/>
    <w:rsid w:val="00E824B7"/>
    <w:rsid w:val="00F11EDB"/>
    <w:rsid w:val="00F162EA"/>
    <w:rsid w:val="00F208C0"/>
    <w:rsid w:val="00F25978"/>
    <w:rsid w:val="00F266A7"/>
    <w:rsid w:val="00F55D6F"/>
    <w:rsid w:val="00F61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2017-04-18T05:43:00Z</dcterms:created>
  <dcterms:modified xsi:type="dcterms:W3CDTF">2017-05-31T08:55:00Z</dcterms:modified>
</cp:coreProperties>
</file>