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F41B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F41B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449"/>
      </w:tblGrid>
      <w:tr w:rsidR="005527A4" w:rsidRPr="00AA3F2E" w:rsidTr="00AD16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D16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666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</w:t>
            </w:r>
            <w:r w:rsidR="00426B6C">
              <w:rPr>
                <w:b/>
              </w:rPr>
              <w:t>0</w:t>
            </w:r>
            <w:r w:rsidR="006A7BB8">
              <w:rPr>
                <w:b/>
              </w:rPr>
              <w:t>0</w:t>
            </w:r>
            <w:r w:rsidR="00426B6C">
              <w:rPr>
                <w:b/>
              </w:rPr>
              <w:t>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D16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D16D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AERODYNAMICS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90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87"/>
        <w:gridCol w:w="1134"/>
        <w:gridCol w:w="851"/>
      </w:tblGrid>
      <w:tr w:rsidR="005D0F4A" w:rsidRPr="004725CA" w:rsidTr="00D8381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D16D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D16D2">
            <w:pPr>
              <w:jc w:val="center"/>
            </w:pPr>
            <w:r w:rsidRPr="00875196">
              <w:t>Sub Div.</w:t>
            </w:r>
          </w:p>
        </w:tc>
        <w:tc>
          <w:tcPr>
            <w:tcW w:w="7087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D8381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D16D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16D2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E5231E" w:rsidP="00DE35D4">
            <w:pPr>
              <w:jc w:val="both"/>
            </w:pPr>
            <w:r>
              <w:t xml:space="preserve">The </w:t>
            </w:r>
            <w:r w:rsidR="006A7BB8">
              <w:t>NACA</w:t>
            </w:r>
            <w:r>
              <w:t xml:space="preserve"> stands for………………………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AD16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5231E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D0F4A" w:rsidRPr="005814FF" w:rsidRDefault="00E5231E" w:rsidP="00670A67">
            <w:pPr>
              <w:jc w:val="center"/>
            </w:pPr>
            <w:r>
              <w:t>1</w:t>
            </w:r>
          </w:p>
        </w:tc>
      </w:tr>
      <w:tr w:rsidR="005D0F4A" w:rsidRPr="00EF5853" w:rsidTr="00D8381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16D2">
            <w:pPr>
              <w:jc w:val="center"/>
            </w:pPr>
            <w:r w:rsidRPr="00EF5853">
              <w:t>b.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E5231E" w:rsidP="00DE35D4">
            <w:pPr>
              <w:jc w:val="both"/>
            </w:pPr>
            <w:r>
              <w:t>State the significance of C</w:t>
            </w:r>
            <w:r w:rsidRPr="00E5231E">
              <w:rPr>
                <w:vertAlign w:val="subscript"/>
              </w:rPr>
              <w:t>L</w:t>
            </w:r>
            <w:r>
              <w:rPr>
                <w:vertAlign w:val="subscript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AD16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5814FF" w:rsidRDefault="00E5231E" w:rsidP="00670A67">
            <w:pPr>
              <w:jc w:val="center"/>
            </w:pPr>
            <w:r>
              <w:t>2</w:t>
            </w:r>
          </w:p>
        </w:tc>
      </w:tr>
      <w:tr w:rsidR="005D0F4A" w:rsidRPr="00EF5853" w:rsidTr="00D8381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16D2">
            <w:pPr>
              <w:jc w:val="center"/>
            </w:pPr>
            <w:r w:rsidRPr="00EF5853">
              <w:t>c.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E5231E" w:rsidP="00DE35D4">
            <w:pPr>
              <w:jc w:val="both"/>
            </w:pPr>
            <w:r>
              <w:t>Define the Reynolds Number, Mach Number.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AD16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5814FF" w:rsidRDefault="00E5231E" w:rsidP="00670A67">
            <w:pPr>
              <w:jc w:val="center"/>
            </w:pPr>
            <w:r>
              <w:t>2</w:t>
            </w:r>
          </w:p>
        </w:tc>
      </w:tr>
      <w:tr w:rsidR="005D0F4A" w:rsidRPr="00EF5853" w:rsidTr="00D8381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16D2">
            <w:pPr>
              <w:jc w:val="center"/>
            </w:pPr>
            <w:r w:rsidRPr="00EF5853">
              <w:t>d.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6A7BB8" w:rsidP="00DE35D4">
            <w:pPr>
              <w:jc w:val="both"/>
            </w:pPr>
            <w:r>
              <w:t xml:space="preserve">Derive the three dimensional momentum equation for </w:t>
            </w:r>
            <w:proofErr w:type="spellStart"/>
            <w:r>
              <w:t>ca</w:t>
            </w:r>
            <w:r w:rsidR="000A1332">
              <w:t>r</w:t>
            </w:r>
            <w:r>
              <w:t>tesian</w:t>
            </w:r>
            <w:proofErr w:type="spellEnd"/>
            <w:r>
              <w:t xml:space="preserve"> coordinate system and expand it to viscous terms.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AD16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5814FF" w:rsidRDefault="00E5231E" w:rsidP="00670A67">
            <w:pPr>
              <w:jc w:val="center"/>
            </w:pPr>
            <w:r>
              <w:t>15</w:t>
            </w:r>
          </w:p>
        </w:tc>
      </w:tr>
      <w:tr w:rsidR="00DE0497" w:rsidRPr="00EF5853" w:rsidTr="00D8381B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DE0497" w:rsidRPr="005814FF" w:rsidRDefault="00DE0497" w:rsidP="00AD16D2">
            <w:pPr>
              <w:jc w:val="center"/>
            </w:pPr>
            <w:r w:rsidRPr="005814FF">
              <w:t>(OR)</w:t>
            </w:r>
          </w:p>
        </w:tc>
      </w:tr>
      <w:tr w:rsidR="00AD16D2" w:rsidRPr="00EF5853" w:rsidTr="00D8381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D16D2" w:rsidRPr="00EF5853" w:rsidRDefault="000A1332" w:rsidP="00AD16D2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AD16D2" w:rsidRPr="00EF5853" w:rsidRDefault="000A1332" w:rsidP="00AD16D2">
            <w:pPr>
              <w:jc w:val="center"/>
            </w:pPr>
            <w:r>
              <w:t>a</w:t>
            </w:r>
            <w:r w:rsidR="00AD16D2" w:rsidRPr="00EF5853">
              <w:t>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DE35D4">
            <w:pPr>
              <w:jc w:val="both"/>
            </w:pPr>
            <w:r>
              <w:t xml:space="preserve">Calculate the Reynolds number and Mach number </w:t>
            </w:r>
            <w:proofErr w:type="gramStart"/>
            <w:r>
              <w:t>of  50</w:t>
            </w:r>
            <w:proofErr w:type="gramEnd"/>
            <w:r>
              <w:t xml:space="preserve"> cm cylinder kept at the test section of low speed wind tunnel.</w:t>
            </w:r>
            <w:r w:rsidR="000A1332">
              <w:t xml:space="preserve"> </w:t>
            </w:r>
            <w:r>
              <w:t>Assume test section velocity is 25m/s.</w:t>
            </w:r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DD74F1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5814FF" w:rsidRDefault="000A1332" w:rsidP="00670A67">
            <w:pPr>
              <w:jc w:val="center"/>
            </w:pPr>
            <w:r>
              <w:t>4</w:t>
            </w:r>
          </w:p>
        </w:tc>
      </w:tr>
      <w:tr w:rsidR="00AD16D2" w:rsidRPr="00EF5853" w:rsidTr="00D8381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D16D2" w:rsidRPr="00EF5853" w:rsidRDefault="00AD16D2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16D2" w:rsidRPr="00EF5853" w:rsidRDefault="000A1332" w:rsidP="00AD16D2">
            <w:pPr>
              <w:jc w:val="center"/>
            </w:pPr>
            <w:r>
              <w:t>b</w:t>
            </w:r>
            <w:r w:rsidR="00AD16D2" w:rsidRPr="00EF5853">
              <w:t>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DE35D4">
            <w:pPr>
              <w:jc w:val="both"/>
            </w:pPr>
            <w:r>
              <w:t>Derive the lift and drag equation for flow over an airfoil and explain how the airplanes are flying?</w:t>
            </w:r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DD74F1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5814FF" w:rsidRDefault="00AD16D2" w:rsidP="00670A67">
            <w:pPr>
              <w:jc w:val="center"/>
            </w:pPr>
            <w:r>
              <w:t>16</w:t>
            </w:r>
          </w:p>
        </w:tc>
      </w:tr>
      <w:tr w:rsidR="00AD16D2" w:rsidRPr="00EF5853" w:rsidTr="00D8381B">
        <w:trPr>
          <w:trHeight w:val="90"/>
        </w:trPr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DE35D4">
            <w:pPr>
              <w:jc w:val="both"/>
            </w:pPr>
            <w:r>
              <w:t>Define Potential flow.</w:t>
            </w:r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DD74F1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5814FF" w:rsidRDefault="00AD16D2" w:rsidP="00670A67">
            <w:pPr>
              <w:jc w:val="center"/>
            </w:pPr>
            <w:r>
              <w:t>2</w:t>
            </w:r>
          </w:p>
        </w:tc>
      </w:tr>
      <w:tr w:rsidR="00AD16D2" w:rsidRPr="00EF5853" w:rsidTr="00D8381B">
        <w:trPr>
          <w:trHeight w:val="90"/>
        </w:trPr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b.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0A1332">
            <w:pPr>
              <w:jc w:val="both"/>
            </w:pPr>
            <w:r>
              <w:t>The two di</w:t>
            </w:r>
            <w:r w:rsidR="000A1332">
              <w:t xml:space="preserve">mensional continuity equation </w:t>
            </w:r>
            <w:r>
              <w:t xml:space="preserve">satisfies the velocity potential.  Prove it. </w:t>
            </w:r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DD74F1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5814FF" w:rsidRDefault="00AD16D2" w:rsidP="00670A67">
            <w:pPr>
              <w:jc w:val="center"/>
            </w:pPr>
            <w:r>
              <w:t>2</w:t>
            </w:r>
          </w:p>
        </w:tc>
      </w:tr>
      <w:tr w:rsidR="00AD16D2" w:rsidRPr="00EF5853" w:rsidTr="00D8381B">
        <w:trPr>
          <w:trHeight w:val="66"/>
        </w:trPr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c.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DE35D4">
            <w:pPr>
              <w:jc w:val="both"/>
            </w:pPr>
            <w:r>
              <w:t>Explain and derive the stream function, potentia</w:t>
            </w:r>
            <w:r w:rsidR="000A1332">
              <w:t>l function of Source flow and vo</w:t>
            </w:r>
            <w:r>
              <w:t>rtex flow.</w:t>
            </w:r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DD74F1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5814FF" w:rsidRDefault="00AD16D2" w:rsidP="00670A67">
            <w:pPr>
              <w:jc w:val="center"/>
            </w:pPr>
            <w:r>
              <w:t>16</w:t>
            </w:r>
          </w:p>
        </w:tc>
      </w:tr>
      <w:tr w:rsidR="00B42E63" w:rsidRPr="00EF5853" w:rsidTr="00D8381B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B42E63" w:rsidRPr="005814FF" w:rsidRDefault="00B42E63" w:rsidP="00AD16D2">
            <w:pPr>
              <w:jc w:val="center"/>
            </w:pPr>
            <w:r w:rsidRPr="005814FF">
              <w:t>(OR)</w:t>
            </w:r>
          </w:p>
        </w:tc>
      </w:tr>
      <w:tr w:rsidR="00B42E63" w:rsidRPr="00EF5853" w:rsidTr="00D8381B">
        <w:trPr>
          <w:trHeight w:val="90"/>
        </w:trPr>
        <w:tc>
          <w:tcPr>
            <w:tcW w:w="709" w:type="dxa"/>
            <w:shd w:val="clear" w:color="auto" w:fill="auto"/>
          </w:tcPr>
          <w:p w:rsidR="00B42E63" w:rsidRPr="00EF5853" w:rsidRDefault="00B42E63" w:rsidP="00AD16D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42E63" w:rsidRPr="00EF5853" w:rsidRDefault="00B42E63" w:rsidP="00AD16D2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B42E63" w:rsidRPr="00EF5853" w:rsidRDefault="00581B42" w:rsidP="00AD16D2">
            <w:pPr>
              <w:jc w:val="both"/>
            </w:pPr>
            <w:r>
              <w:t>Consider the velocity field given by</w:t>
            </w:r>
            <w:r w:rsidR="00AD16D2">
              <w:t xml:space="preserve"> </w:t>
            </w:r>
            <w:r w:rsidR="00AD16D2" w:rsidRPr="00AD16D2">
              <w:rPr>
                <w:position w:val="-30"/>
              </w:rPr>
              <w:object w:dxaOrig="134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75pt;height:33.75pt" o:ole="">
                  <v:imagedata r:id="rId8" o:title=""/>
                </v:shape>
                <o:OLEObject Type="Embed" ProgID="Equation.3" ShapeID="_x0000_i1025" DrawAspect="Content" ObjectID="_1554709800" r:id="rId9"/>
              </w:object>
            </w:r>
            <w:r>
              <w:t>and</w:t>
            </w:r>
            <w:r w:rsidR="008C7A15">
              <w:t xml:space="preserve"> v = </w:t>
            </w:r>
            <w:r w:rsidR="00AD16D2" w:rsidRPr="00AD16D2">
              <w:rPr>
                <w:position w:val="-30"/>
              </w:rPr>
              <w:object w:dxaOrig="1219" w:dyaOrig="680">
                <v:shape id="_x0000_i1026" type="#_x0000_t75" style="width:60.75pt;height:33.75pt" o:ole="">
                  <v:imagedata r:id="rId10" o:title=""/>
                </v:shape>
                <o:OLEObject Type="Embed" ProgID="Equation.3" ShapeID="_x0000_i1026" DrawAspect="Content" ObjectID="_1554709801" r:id="rId11"/>
              </w:object>
            </w:r>
            <w:r>
              <w:t>Calculate the equation of the streamline passing through point (0</w:t>
            </w:r>
            <w:proofErr w:type="gramStart"/>
            <w:r>
              <w:t>,5</w:t>
            </w:r>
            <w:proofErr w:type="gramEnd"/>
            <w:r>
              <w:t>).</w:t>
            </w:r>
          </w:p>
        </w:tc>
        <w:tc>
          <w:tcPr>
            <w:tcW w:w="1134" w:type="dxa"/>
            <w:shd w:val="clear" w:color="auto" w:fill="auto"/>
          </w:tcPr>
          <w:p w:rsidR="00B42E63" w:rsidRPr="00875196" w:rsidRDefault="00AD16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B42E63" w:rsidRPr="005814FF" w:rsidRDefault="00D05E1A" w:rsidP="00670A67">
            <w:pPr>
              <w:jc w:val="center"/>
            </w:pPr>
            <w:r>
              <w:t>6</w:t>
            </w:r>
          </w:p>
        </w:tc>
      </w:tr>
      <w:tr w:rsidR="00B42E63" w:rsidRPr="00EF5853" w:rsidTr="00D8381B">
        <w:trPr>
          <w:trHeight w:val="90"/>
        </w:trPr>
        <w:tc>
          <w:tcPr>
            <w:tcW w:w="709" w:type="dxa"/>
            <w:shd w:val="clear" w:color="auto" w:fill="auto"/>
          </w:tcPr>
          <w:p w:rsidR="00B42E63" w:rsidRPr="00EF5853" w:rsidRDefault="00B42E63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2E63" w:rsidRPr="00EF5853" w:rsidRDefault="00B42E63" w:rsidP="00AD16D2">
            <w:pPr>
              <w:jc w:val="center"/>
            </w:pPr>
            <w:r w:rsidRPr="00EF5853">
              <w:t>b.</w:t>
            </w:r>
          </w:p>
        </w:tc>
        <w:tc>
          <w:tcPr>
            <w:tcW w:w="7087" w:type="dxa"/>
            <w:shd w:val="clear" w:color="auto" w:fill="auto"/>
          </w:tcPr>
          <w:p w:rsidR="00B42E63" w:rsidRPr="00EF5853" w:rsidRDefault="00581B42" w:rsidP="009F41B2">
            <w:pPr>
              <w:jc w:val="both"/>
            </w:pPr>
            <w:r>
              <w:t xml:space="preserve">Explain and derive the stream function, potential function for </w:t>
            </w:r>
            <w:proofErr w:type="spellStart"/>
            <w:r>
              <w:t>Rankine</w:t>
            </w:r>
            <w:proofErr w:type="spellEnd"/>
            <w:r>
              <w:t xml:space="preserve"> half </w:t>
            </w:r>
            <w:r w:rsidR="009F41B2">
              <w:t>b</w:t>
            </w:r>
            <w:r>
              <w:t>ody.</w:t>
            </w:r>
          </w:p>
        </w:tc>
        <w:tc>
          <w:tcPr>
            <w:tcW w:w="1134" w:type="dxa"/>
            <w:shd w:val="clear" w:color="auto" w:fill="auto"/>
          </w:tcPr>
          <w:p w:rsidR="00B42E63" w:rsidRPr="00875196" w:rsidRDefault="00AD16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7740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42E63" w:rsidRPr="005814FF" w:rsidRDefault="00D05E1A" w:rsidP="00670A67">
            <w:pPr>
              <w:jc w:val="center"/>
            </w:pPr>
            <w:r>
              <w:t>14</w:t>
            </w:r>
          </w:p>
        </w:tc>
      </w:tr>
      <w:tr w:rsidR="00AD16D2" w:rsidRPr="00EF5853" w:rsidTr="00D8381B">
        <w:trPr>
          <w:trHeight w:val="90"/>
        </w:trPr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DE35D4">
            <w:pPr>
              <w:jc w:val="both"/>
            </w:pPr>
            <w:r>
              <w:t xml:space="preserve">State the Kutta </w:t>
            </w:r>
            <w:proofErr w:type="gramStart"/>
            <w:r>
              <w:t>condition 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BD572C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5814FF" w:rsidRDefault="00AD16D2" w:rsidP="00670A67">
            <w:pPr>
              <w:jc w:val="center"/>
            </w:pPr>
            <w:r>
              <w:t>10</w:t>
            </w:r>
          </w:p>
        </w:tc>
      </w:tr>
      <w:tr w:rsidR="00AD16D2" w:rsidRPr="00EF5853" w:rsidTr="00D8381B">
        <w:trPr>
          <w:trHeight w:val="90"/>
        </w:trPr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b.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DE35D4">
            <w:pPr>
              <w:jc w:val="both"/>
            </w:pPr>
            <w:r>
              <w:t>Define circulation and explain why circulation required for aerofoil to create lift?</w:t>
            </w:r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BD572C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5814FF" w:rsidRDefault="00AD16D2" w:rsidP="00670A67">
            <w:pPr>
              <w:jc w:val="center"/>
            </w:pPr>
            <w:r>
              <w:t>10</w:t>
            </w:r>
          </w:p>
        </w:tc>
      </w:tr>
      <w:tr w:rsidR="00B42E63" w:rsidRPr="00EF5853" w:rsidTr="00D8381B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B42E63" w:rsidRPr="005814FF" w:rsidRDefault="00B42E63" w:rsidP="00AD16D2">
            <w:pPr>
              <w:jc w:val="center"/>
            </w:pPr>
            <w:r w:rsidRPr="005814FF">
              <w:t>(OR)</w:t>
            </w:r>
          </w:p>
        </w:tc>
      </w:tr>
      <w:tr w:rsidR="00AD16D2" w:rsidRPr="00EF5853" w:rsidTr="00D8381B">
        <w:trPr>
          <w:trHeight w:val="90"/>
        </w:trPr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DE35D4">
            <w:pPr>
              <w:jc w:val="both"/>
            </w:pPr>
            <w:r>
              <w:t>Explain in detail about the stream and potential function of lifting flow over a circular cylinder.</w:t>
            </w:r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363F49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5814FF" w:rsidRDefault="00AD16D2" w:rsidP="00670A67">
            <w:pPr>
              <w:jc w:val="center"/>
            </w:pPr>
            <w:r>
              <w:t>15</w:t>
            </w:r>
          </w:p>
        </w:tc>
      </w:tr>
      <w:tr w:rsidR="00AD16D2" w:rsidRPr="00EF5853" w:rsidTr="00D8381B">
        <w:trPr>
          <w:trHeight w:val="90"/>
        </w:trPr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b.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DE35D4">
            <w:pPr>
              <w:jc w:val="both"/>
            </w:pPr>
            <w:r>
              <w:t xml:space="preserve">Explain the concept behind the Magnus effect. </w:t>
            </w:r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363F49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5814FF" w:rsidRDefault="00AD16D2" w:rsidP="00670A67">
            <w:pPr>
              <w:jc w:val="center"/>
            </w:pPr>
            <w:r>
              <w:t>5</w:t>
            </w:r>
          </w:p>
        </w:tc>
      </w:tr>
      <w:tr w:rsidR="00AD16D2" w:rsidRPr="00EF5853" w:rsidTr="00D8381B">
        <w:trPr>
          <w:trHeight w:val="90"/>
        </w:trPr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DE35D4">
            <w:pPr>
              <w:jc w:val="both"/>
            </w:pPr>
            <w:r>
              <w:t>Starting with the definition of circulation, derive Kelvin’s Circulation Theorem.</w:t>
            </w:r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363F49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5814FF" w:rsidRDefault="00AD16D2" w:rsidP="00670A67">
            <w:pPr>
              <w:jc w:val="center"/>
            </w:pPr>
            <w:r>
              <w:t>6</w:t>
            </w:r>
          </w:p>
        </w:tc>
      </w:tr>
      <w:tr w:rsidR="00581B42" w:rsidRPr="00EF5853" w:rsidTr="00D8381B">
        <w:trPr>
          <w:trHeight w:val="90"/>
        </w:trPr>
        <w:tc>
          <w:tcPr>
            <w:tcW w:w="709" w:type="dxa"/>
            <w:shd w:val="clear" w:color="auto" w:fill="auto"/>
          </w:tcPr>
          <w:p w:rsidR="00581B42" w:rsidRPr="00EF5853" w:rsidRDefault="00581B42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81B42" w:rsidRPr="00EF5853" w:rsidRDefault="002D6539" w:rsidP="00AD16D2">
            <w:pPr>
              <w:jc w:val="center"/>
            </w:pPr>
            <w:r>
              <w:t>b</w:t>
            </w:r>
            <w:r w:rsidR="00581B42" w:rsidRPr="00EF5853">
              <w:t>.</w:t>
            </w:r>
          </w:p>
        </w:tc>
        <w:tc>
          <w:tcPr>
            <w:tcW w:w="7087" w:type="dxa"/>
            <w:shd w:val="clear" w:color="auto" w:fill="auto"/>
          </w:tcPr>
          <w:p w:rsidR="0060360F" w:rsidRDefault="00581B42" w:rsidP="00670A67">
            <w:r>
              <w:t xml:space="preserve">State and prove that </w:t>
            </w:r>
            <w:r w:rsidR="0060360F">
              <w:t>the</w:t>
            </w:r>
            <w:r>
              <w:t xml:space="preserve"> lift produced by the symmetrical airfoil is </w:t>
            </w:r>
          </w:p>
          <w:p w:rsidR="00581B42" w:rsidRPr="00EF5853" w:rsidRDefault="00581B42" w:rsidP="00DE35D4">
            <w:pPr>
              <w:jc w:val="both"/>
            </w:pPr>
            <w:r>
              <w:t>C</w:t>
            </w:r>
            <w:r w:rsidR="00191167">
              <w:rPr>
                <w:vertAlign w:val="subscript"/>
              </w:rPr>
              <w:t>L</w:t>
            </w:r>
            <w:r w:rsidR="0060360F">
              <w:t xml:space="preserve">= 2πα by </w:t>
            </w:r>
            <w:r>
              <w:t>using the thin-aerofoil theory</w:t>
            </w:r>
            <w:r w:rsidR="0060360F">
              <w:t xml:space="preserve"> approximation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81B42" w:rsidRPr="00875196" w:rsidRDefault="00AD16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81B4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581B42" w:rsidRPr="005814FF" w:rsidRDefault="00D05E1A" w:rsidP="00670A67">
            <w:pPr>
              <w:jc w:val="center"/>
            </w:pPr>
            <w:r>
              <w:t>14</w:t>
            </w:r>
          </w:p>
        </w:tc>
      </w:tr>
      <w:tr w:rsidR="00581B42" w:rsidRPr="00EF5853" w:rsidTr="00D8381B">
        <w:trPr>
          <w:trHeight w:val="42"/>
        </w:trPr>
        <w:tc>
          <w:tcPr>
            <w:tcW w:w="10490" w:type="dxa"/>
            <w:gridSpan w:val="5"/>
            <w:shd w:val="clear" w:color="auto" w:fill="auto"/>
          </w:tcPr>
          <w:p w:rsidR="00581B42" w:rsidRPr="005814FF" w:rsidRDefault="00581B42" w:rsidP="00AD16D2">
            <w:pPr>
              <w:jc w:val="center"/>
            </w:pPr>
            <w:r w:rsidRPr="005814FF">
              <w:t>(OR)</w:t>
            </w:r>
          </w:p>
        </w:tc>
      </w:tr>
      <w:tr w:rsidR="00581B42" w:rsidRPr="00EF5853" w:rsidTr="00D8381B">
        <w:trPr>
          <w:trHeight w:val="42"/>
        </w:trPr>
        <w:tc>
          <w:tcPr>
            <w:tcW w:w="709" w:type="dxa"/>
            <w:shd w:val="clear" w:color="auto" w:fill="auto"/>
          </w:tcPr>
          <w:p w:rsidR="00581B42" w:rsidRPr="00EF5853" w:rsidRDefault="00581B42" w:rsidP="00AD16D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81B42" w:rsidRPr="00EF5853" w:rsidRDefault="00581B42" w:rsidP="00AD16D2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581B42" w:rsidRPr="00EF5853" w:rsidRDefault="00581B42" w:rsidP="009F41B2">
            <w:pPr>
              <w:jc w:val="both"/>
            </w:pPr>
            <w:r>
              <w:t xml:space="preserve">What is the </w:t>
            </w:r>
            <w:r w:rsidR="009F41B2">
              <w:t>nomenclature</w:t>
            </w:r>
            <w:r>
              <w:t xml:space="preserve"> of NACA 23012 airfoil?</w:t>
            </w:r>
          </w:p>
        </w:tc>
        <w:tc>
          <w:tcPr>
            <w:tcW w:w="1134" w:type="dxa"/>
            <w:shd w:val="clear" w:color="auto" w:fill="auto"/>
          </w:tcPr>
          <w:p w:rsidR="00581B42" w:rsidRPr="00875196" w:rsidRDefault="00AD16D2" w:rsidP="00C64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81B4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581B42" w:rsidRPr="005814FF" w:rsidRDefault="00581B42" w:rsidP="00C64242">
            <w:pPr>
              <w:jc w:val="center"/>
            </w:pPr>
            <w:r>
              <w:t>4</w:t>
            </w:r>
          </w:p>
        </w:tc>
      </w:tr>
      <w:tr w:rsidR="00581B42" w:rsidRPr="00EF5853" w:rsidTr="00D8381B">
        <w:trPr>
          <w:trHeight w:val="42"/>
        </w:trPr>
        <w:tc>
          <w:tcPr>
            <w:tcW w:w="709" w:type="dxa"/>
            <w:shd w:val="clear" w:color="auto" w:fill="auto"/>
          </w:tcPr>
          <w:p w:rsidR="00581B42" w:rsidRPr="00EF5853" w:rsidRDefault="00581B42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81B42" w:rsidRPr="00EF5853" w:rsidRDefault="00581B42" w:rsidP="00AD16D2">
            <w:pPr>
              <w:jc w:val="center"/>
            </w:pPr>
            <w:r w:rsidRPr="00EF5853">
              <w:t>b.</w:t>
            </w:r>
          </w:p>
        </w:tc>
        <w:tc>
          <w:tcPr>
            <w:tcW w:w="7087" w:type="dxa"/>
            <w:shd w:val="clear" w:color="auto" w:fill="auto"/>
          </w:tcPr>
          <w:p w:rsidR="00AD16D2" w:rsidRDefault="00581B42" w:rsidP="001A62FD">
            <w:pPr>
              <w:jc w:val="both"/>
            </w:pPr>
            <w:r>
              <w:t xml:space="preserve">Consider an airfoil NACA 23012.  The mean </w:t>
            </w:r>
            <w:proofErr w:type="spellStart"/>
            <w:r>
              <w:t>camberline</w:t>
            </w:r>
            <w:proofErr w:type="spellEnd"/>
            <w:r>
              <w:t xml:space="preserve"> for this airfoil is given by</w:t>
            </w:r>
            <w:r w:rsidR="00AD16D2">
              <w:t xml:space="preserve"> </w:t>
            </w:r>
            <w:r w:rsidR="00AD16D2" w:rsidRPr="00AD16D2">
              <w:rPr>
                <w:position w:val="-36"/>
              </w:rPr>
              <w:object w:dxaOrig="4520" w:dyaOrig="840">
                <v:shape id="_x0000_i1027" type="#_x0000_t75" style="width:225.75pt;height:42pt" o:ole="">
                  <v:imagedata r:id="rId12" o:title=""/>
                </v:shape>
                <o:OLEObject Type="Embed" ProgID="Equation.3" ShapeID="_x0000_i1027" DrawAspect="Content" ObjectID="_1554709802" r:id="rId13"/>
              </w:object>
            </w:r>
            <w:r w:rsidR="00AD16D2">
              <w:t xml:space="preserve"> for </w:t>
            </w:r>
            <w:r w:rsidR="00AD16D2" w:rsidRPr="00AD16D2">
              <w:rPr>
                <w:position w:val="-24"/>
              </w:rPr>
              <w:object w:dxaOrig="1500" w:dyaOrig="620">
                <v:shape id="_x0000_i1028" type="#_x0000_t75" style="width:75pt;height:30.75pt" o:ole="">
                  <v:imagedata r:id="rId14" o:title=""/>
                </v:shape>
                <o:OLEObject Type="Embed" ProgID="Equation.3" ShapeID="_x0000_i1028" DrawAspect="Content" ObjectID="_1554709803" r:id="rId15"/>
              </w:object>
            </w:r>
            <w:r w:rsidR="00AD16D2">
              <w:t xml:space="preserve"> and </w:t>
            </w:r>
            <w:r w:rsidR="00AD16D2" w:rsidRPr="00AD16D2">
              <w:rPr>
                <w:position w:val="-30"/>
              </w:rPr>
              <w:object w:dxaOrig="2160" w:dyaOrig="720">
                <v:shape id="_x0000_i1029" type="#_x0000_t75" style="width:108pt;height:36pt" o:ole="">
                  <v:imagedata r:id="rId16" o:title=""/>
                </v:shape>
                <o:OLEObject Type="Embed" ProgID="Equation.3" ShapeID="_x0000_i1029" DrawAspect="Content" ObjectID="_1554709804" r:id="rId17"/>
              </w:object>
            </w:r>
            <w:r w:rsidR="00AD16D2">
              <w:t xml:space="preserve">for </w:t>
            </w:r>
            <w:r w:rsidR="00AD16D2" w:rsidRPr="00AD16D2">
              <w:rPr>
                <w:position w:val="-24"/>
              </w:rPr>
              <w:object w:dxaOrig="1660" w:dyaOrig="620">
                <v:shape id="_x0000_i1030" type="#_x0000_t75" style="width:83.25pt;height:30.75pt" o:ole="">
                  <v:imagedata r:id="rId18" o:title=""/>
                </v:shape>
                <o:OLEObject Type="Embed" ProgID="Equation.3" ShapeID="_x0000_i1030" DrawAspect="Content" ObjectID="_1554709805" r:id="rId19"/>
              </w:object>
            </w:r>
          </w:p>
          <w:p w:rsidR="00AD16D2" w:rsidRDefault="00AD16D2" w:rsidP="001A62FD">
            <w:pPr>
              <w:jc w:val="both"/>
            </w:pPr>
          </w:p>
          <w:p w:rsidR="00581B42" w:rsidRPr="00EF5853" w:rsidRDefault="00581B42" w:rsidP="001A62FD">
            <w:pPr>
              <w:jc w:val="both"/>
            </w:pPr>
            <w:r>
              <w:t xml:space="preserve">Calculate (a) Angle of attack at zero lift, (b) the lift coefficient when α=5˚, (c) the moment </w:t>
            </w:r>
            <w:r w:rsidR="009F41B2">
              <w:t>coefficient about quarter chord</w:t>
            </w:r>
            <w:bookmarkStart w:id="0" w:name="_GoBack"/>
            <w:bookmarkEnd w:id="0"/>
            <w:r>
              <w:t xml:space="preserve">, and (d) the location of the center of pressure in terms of </w:t>
            </w:r>
            <w:proofErr w:type="spellStart"/>
            <w:r w:rsidRPr="001A62FD">
              <w:rPr>
                <w:rFonts w:asciiTheme="majorHAnsi" w:hAnsiTheme="majorHAnsi"/>
              </w:rPr>
              <w:t>x</w:t>
            </w:r>
            <w:r w:rsidRPr="001A62FD">
              <w:rPr>
                <w:rFonts w:asciiTheme="majorHAnsi" w:hAnsiTheme="majorHAnsi"/>
                <w:vertAlign w:val="subscript"/>
              </w:rPr>
              <w:t>cp</w:t>
            </w:r>
            <w:proofErr w:type="spellEnd"/>
            <w:r w:rsidRPr="001A62FD">
              <w:rPr>
                <w:rFonts w:asciiTheme="majorHAnsi" w:hAnsiTheme="majorHAnsi"/>
              </w:rPr>
              <w:t>/c</w:t>
            </w:r>
            <w:r>
              <w:t>, when</w:t>
            </w:r>
            <w:r w:rsidR="002107D5">
              <w:t xml:space="preserve"> </w:t>
            </w:r>
            <w:r>
              <w:t>α=5˚.</w:t>
            </w:r>
          </w:p>
        </w:tc>
        <w:tc>
          <w:tcPr>
            <w:tcW w:w="1134" w:type="dxa"/>
            <w:shd w:val="clear" w:color="auto" w:fill="auto"/>
          </w:tcPr>
          <w:p w:rsidR="00581B42" w:rsidRPr="00875196" w:rsidRDefault="00AD16D2" w:rsidP="00C64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</w:t>
            </w:r>
            <w:r w:rsidR="00581B4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581B42" w:rsidRPr="005814FF" w:rsidRDefault="00581B42" w:rsidP="00C64242">
            <w:pPr>
              <w:jc w:val="center"/>
            </w:pPr>
            <w:r>
              <w:t>16</w:t>
            </w:r>
          </w:p>
        </w:tc>
      </w:tr>
      <w:tr w:rsidR="00581B42" w:rsidRPr="00EF5853" w:rsidTr="00D8381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81B42" w:rsidRPr="00EF5853" w:rsidRDefault="00581B42" w:rsidP="00AD16D2">
            <w:pPr>
              <w:jc w:val="center"/>
            </w:pPr>
          </w:p>
        </w:tc>
        <w:tc>
          <w:tcPr>
            <w:tcW w:w="7087" w:type="dxa"/>
            <w:shd w:val="clear" w:color="auto" w:fill="auto"/>
          </w:tcPr>
          <w:p w:rsidR="00581B42" w:rsidRDefault="00581B42" w:rsidP="001A62FD">
            <w:pPr>
              <w:jc w:val="both"/>
            </w:pPr>
            <w:r w:rsidRPr="00AD16D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581B42" w:rsidRDefault="00581B42" w:rsidP="00C64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81B42" w:rsidRDefault="00581B42" w:rsidP="00C64242">
            <w:pPr>
              <w:jc w:val="center"/>
            </w:pPr>
          </w:p>
        </w:tc>
      </w:tr>
      <w:tr w:rsidR="00AD16D2" w:rsidRPr="00EF5853" w:rsidTr="00D8381B">
        <w:trPr>
          <w:trHeight w:val="42"/>
        </w:trPr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DE35D4">
            <w:pPr>
              <w:jc w:val="both"/>
            </w:pPr>
            <w:r>
              <w:t>Enumerate the following concept, 1. Starting vortex 2. Horse-shoe Vortex</w:t>
            </w:r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B3502B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875196" w:rsidRDefault="00AD16D2" w:rsidP="00BF75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D16D2" w:rsidRPr="00EF5853" w:rsidTr="00D8381B">
        <w:trPr>
          <w:trHeight w:val="42"/>
        </w:trPr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16D2" w:rsidRPr="00EF5853" w:rsidRDefault="00AD16D2" w:rsidP="00AD16D2">
            <w:pPr>
              <w:jc w:val="center"/>
            </w:pPr>
            <w:r w:rsidRPr="00EF5853">
              <w:t>b.</w:t>
            </w:r>
          </w:p>
        </w:tc>
        <w:tc>
          <w:tcPr>
            <w:tcW w:w="7087" w:type="dxa"/>
            <w:shd w:val="clear" w:color="auto" w:fill="auto"/>
          </w:tcPr>
          <w:p w:rsidR="00AD16D2" w:rsidRPr="00EF5853" w:rsidRDefault="00AD16D2" w:rsidP="009F41B2">
            <w:pPr>
              <w:jc w:val="both"/>
            </w:pPr>
            <w:r>
              <w:t xml:space="preserve">Derive the Prandtl’s lifting line theory and prove that drag coefficient is directly proportional to square </w:t>
            </w:r>
            <w:proofErr w:type="gramStart"/>
            <w:r>
              <w:t>of  lift</w:t>
            </w:r>
            <w:proofErr w:type="gramEnd"/>
            <w:r>
              <w:t xml:space="preserve"> coefficient and invers</w:t>
            </w:r>
            <w:r w:rsidR="009F41B2">
              <w:t>ely proportional to 3.14 times a</w:t>
            </w:r>
            <w:r>
              <w:t xml:space="preserve">spect </w:t>
            </w:r>
            <w:r w:rsidR="009F41B2">
              <w:t>r</w:t>
            </w:r>
            <w:r>
              <w:t>atio of the  elliptic wing.</w:t>
            </w:r>
          </w:p>
        </w:tc>
        <w:tc>
          <w:tcPr>
            <w:tcW w:w="1134" w:type="dxa"/>
            <w:shd w:val="clear" w:color="auto" w:fill="auto"/>
          </w:tcPr>
          <w:p w:rsidR="00AD16D2" w:rsidRDefault="00AD16D2" w:rsidP="00AD16D2">
            <w:pPr>
              <w:jc w:val="center"/>
            </w:pPr>
            <w:r w:rsidRPr="00B3502B"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AD16D2" w:rsidRPr="00875196" w:rsidRDefault="00AD16D2" w:rsidP="00BF75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A1332"/>
    <w:rsid w:val="000F3EFE"/>
    <w:rsid w:val="000F49A2"/>
    <w:rsid w:val="00191167"/>
    <w:rsid w:val="001A0E25"/>
    <w:rsid w:val="001A62FD"/>
    <w:rsid w:val="001B3248"/>
    <w:rsid w:val="001D18C4"/>
    <w:rsid w:val="001D41FE"/>
    <w:rsid w:val="001D670F"/>
    <w:rsid w:val="001E2222"/>
    <w:rsid w:val="001E2DF2"/>
    <w:rsid w:val="001F54D1"/>
    <w:rsid w:val="001F7E9B"/>
    <w:rsid w:val="00200822"/>
    <w:rsid w:val="002107D5"/>
    <w:rsid w:val="002125D5"/>
    <w:rsid w:val="002158EE"/>
    <w:rsid w:val="00224E7C"/>
    <w:rsid w:val="00227B55"/>
    <w:rsid w:val="0023354D"/>
    <w:rsid w:val="002971F5"/>
    <w:rsid w:val="002A1472"/>
    <w:rsid w:val="002D09FF"/>
    <w:rsid w:val="002D6539"/>
    <w:rsid w:val="002D7611"/>
    <w:rsid w:val="002D76BB"/>
    <w:rsid w:val="002E336A"/>
    <w:rsid w:val="002E552A"/>
    <w:rsid w:val="00304757"/>
    <w:rsid w:val="00324247"/>
    <w:rsid w:val="00337236"/>
    <w:rsid w:val="00380146"/>
    <w:rsid w:val="003855F1"/>
    <w:rsid w:val="003B14BC"/>
    <w:rsid w:val="003B1F06"/>
    <w:rsid w:val="003C6BB4"/>
    <w:rsid w:val="003F2B64"/>
    <w:rsid w:val="00426B6C"/>
    <w:rsid w:val="0046314C"/>
    <w:rsid w:val="0046787F"/>
    <w:rsid w:val="004E148D"/>
    <w:rsid w:val="004F787A"/>
    <w:rsid w:val="00501F18"/>
    <w:rsid w:val="0050571C"/>
    <w:rsid w:val="005133D7"/>
    <w:rsid w:val="005214A3"/>
    <w:rsid w:val="00533937"/>
    <w:rsid w:val="005527A4"/>
    <w:rsid w:val="005814FF"/>
    <w:rsid w:val="00581B42"/>
    <w:rsid w:val="005D0F4A"/>
    <w:rsid w:val="005F011C"/>
    <w:rsid w:val="0060360F"/>
    <w:rsid w:val="0062605C"/>
    <w:rsid w:val="00670A67"/>
    <w:rsid w:val="00681B25"/>
    <w:rsid w:val="006A7BB8"/>
    <w:rsid w:val="006C7354"/>
    <w:rsid w:val="00713F0B"/>
    <w:rsid w:val="00720BC7"/>
    <w:rsid w:val="00725A0A"/>
    <w:rsid w:val="007326F6"/>
    <w:rsid w:val="007666E6"/>
    <w:rsid w:val="007770B0"/>
    <w:rsid w:val="007F7E11"/>
    <w:rsid w:val="00802202"/>
    <w:rsid w:val="0081627E"/>
    <w:rsid w:val="00875196"/>
    <w:rsid w:val="008A56BE"/>
    <w:rsid w:val="008B0703"/>
    <w:rsid w:val="008C7A15"/>
    <w:rsid w:val="00904D12"/>
    <w:rsid w:val="0095679B"/>
    <w:rsid w:val="00966778"/>
    <w:rsid w:val="009B53DD"/>
    <w:rsid w:val="009C5A1D"/>
    <w:rsid w:val="009F41B2"/>
    <w:rsid w:val="00A77406"/>
    <w:rsid w:val="00AA3F2E"/>
    <w:rsid w:val="00AA5E39"/>
    <w:rsid w:val="00AA6B40"/>
    <w:rsid w:val="00AD16D2"/>
    <w:rsid w:val="00AE264C"/>
    <w:rsid w:val="00B009B1"/>
    <w:rsid w:val="00B42E63"/>
    <w:rsid w:val="00B60E7E"/>
    <w:rsid w:val="00BA539E"/>
    <w:rsid w:val="00BB5C6B"/>
    <w:rsid w:val="00BF25ED"/>
    <w:rsid w:val="00C3743D"/>
    <w:rsid w:val="00C53940"/>
    <w:rsid w:val="00C60C6A"/>
    <w:rsid w:val="00C81140"/>
    <w:rsid w:val="00C95F18"/>
    <w:rsid w:val="00CB2395"/>
    <w:rsid w:val="00CB7A50"/>
    <w:rsid w:val="00CE1825"/>
    <w:rsid w:val="00CE5503"/>
    <w:rsid w:val="00D05E1A"/>
    <w:rsid w:val="00D31E76"/>
    <w:rsid w:val="00D3698C"/>
    <w:rsid w:val="00D62341"/>
    <w:rsid w:val="00D64FF9"/>
    <w:rsid w:val="00D8381B"/>
    <w:rsid w:val="00D94D54"/>
    <w:rsid w:val="00DE0497"/>
    <w:rsid w:val="00DE35D4"/>
    <w:rsid w:val="00E104EC"/>
    <w:rsid w:val="00E5231E"/>
    <w:rsid w:val="00E570AF"/>
    <w:rsid w:val="00E70A47"/>
    <w:rsid w:val="00E824B7"/>
    <w:rsid w:val="00F11EDB"/>
    <w:rsid w:val="00F162EA"/>
    <w:rsid w:val="00F208C0"/>
    <w:rsid w:val="00F266A7"/>
    <w:rsid w:val="00F55D6F"/>
    <w:rsid w:val="00F56126"/>
    <w:rsid w:val="00F7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5:docId w15:val="{368FE4B8-5A9F-493E-B896-E29AE085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104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E771F-2FBF-4463-BA87-149B9461A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2017-04-18T11:33:00Z</cp:lastPrinted>
  <dcterms:created xsi:type="dcterms:W3CDTF">2017-03-27T06:55:00Z</dcterms:created>
  <dcterms:modified xsi:type="dcterms:W3CDTF">2017-04-26T18:03:00Z</dcterms:modified>
</cp:coreProperties>
</file>